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noProof w:val="0"/>
          <w:sz w:val="2"/>
        </w:rPr>
        <w:id w:val="813295162"/>
        <w:docPartObj>
          <w:docPartGallery w:val="Cover Pages"/>
          <w:docPartUnique/>
        </w:docPartObj>
      </w:sdtPr>
      <w:sdtEndPr/>
      <w:sdtContent>
        <w:sdt>
          <w:sdtPr>
            <w:rPr>
              <w:noProof w:val="0"/>
              <w:sz w:val="2"/>
            </w:rPr>
            <w:id w:val="252255042"/>
            <w:lock w:val="contentLocked"/>
            <w:placeholder>
              <w:docPart w:val="B8BA082FD8F44737AA42E6B9774D8F66"/>
            </w:placeholder>
            <w:group/>
          </w:sdtPr>
          <w:sdtEndPr/>
          <w:sdtContent>
            <w:p w14:paraId="4E50CAD5" w14:textId="77777777" w:rsidR="005A7B09" w:rsidRDefault="005A7B09" w:rsidP="005B4310">
              <w:pPr>
                <w:pStyle w:val="CoverImage"/>
              </w:pPr>
              <w:r>
                <w:rPr>
                  <w:sz w:val="2"/>
                </w:rPr>
                <w:drawing>
                  <wp:anchor distT="0" distB="0" distL="114300" distR="114300" simplePos="0" relativeHeight="251660288" behindDoc="0" locked="0" layoutInCell="1" allowOverlap="1" wp14:anchorId="632479A0" wp14:editId="095ADE66">
                    <wp:simplePos x="0" y="0"/>
                    <wp:positionH relativeFrom="column">
                      <wp:posOffset>-409433</wp:posOffset>
                    </wp:positionH>
                    <wp:positionV relativeFrom="paragraph">
                      <wp:posOffset>-197839</wp:posOffset>
                    </wp:positionV>
                    <wp:extent cx="1358265" cy="1325136"/>
                    <wp:effectExtent l="0" t="0" r="0" b="8890"/>
                    <wp:wrapNone/>
                    <wp:docPr id="3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pic:cNvPicPr>
                          </pic:nvPicPr>
                          <pic:blipFill>
                            <a:blip r:embed="rId14">
                              <a:extLst>
                                <a:ext uri="{96DAC541-7B7A-43D3-8B79-37D633B846F1}">
                                  <asvg:svgBlip xmlns:asvg="http://schemas.microsoft.com/office/drawing/2016/SVG/main" r:embed="rId15"/>
                                </a:ext>
                              </a:extLst>
                            </a:blip>
                            <a:stretch>
                              <a:fillRect/>
                            </a:stretch>
                          </pic:blipFill>
                          <pic:spPr bwMode="auto">
                            <a:xfrm>
                              <a:off x="0" y="0"/>
                              <a:ext cx="1358265" cy="1325136"/>
                            </a:xfrm>
                            <a:prstGeom prst="rect">
                              <a:avLst/>
                            </a:prstGeom>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sz w:val="2"/>
                </w:rPr>
                <mc:AlternateContent>
                  <mc:Choice Requires="wps">
                    <w:drawing>
                      <wp:anchor distT="0" distB="0" distL="114300" distR="114300" simplePos="0" relativeHeight="251659264" behindDoc="0" locked="0" layoutInCell="1" allowOverlap="1" wp14:anchorId="7E129869" wp14:editId="2A6DFE8A">
                        <wp:simplePos x="0" y="0"/>
                        <wp:positionH relativeFrom="column">
                          <wp:posOffset>-914400</wp:posOffset>
                        </wp:positionH>
                        <wp:positionV relativeFrom="paragraph">
                          <wp:posOffset>-457200</wp:posOffset>
                        </wp:positionV>
                        <wp:extent cx="9966960" cy="2286000"/>
                        <wp:effectExtent l="0" t="0" r="0" b="0"/>
                        <wp:wrapNone/>
                        <wp:docPr id="30" name="Right Triangle 30"/>
                        <wp:cNvGraphicFramePr/>
                        <a:graphic xmlns:a="http://schemas.openxmlformats.org/drawingml/2006/main">
                          <a:graphicData uri="http://schemas.microsoft.com/office/word/2010/wordprocessingShape">
                            <wps:wsp>
                              <wps:cNvSpPr/>
                              <wps:spPr>
                                <a:xfrm flipV="1">
                                  <a:off x="0" y="0"/>
                                  <a:ext cx="9966960" cy="2286000"/>
                                </a:xfrm>
                                <a:prstGeom prst="rtTriangle">
                                  <a:avLst/>
                                </a:prstGeom>
                                <a:solidFill>
                                  <a:srgbClr val="E8E8E8"/>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643A03D" id="_x0000_t6" coordsize="21600,21600" o:spt="6" path="m,l,21600r21600,xe">
                        <v:stroke joinstyle="miter"/>
                        <v:path gradientshapeok="t" o:connecttype="custom" o:connectlocs="0,0;0,10800;0,21600;10800,21600;21600,21600;10800,10800" textboxrect="1800,12600,12600,19800"/>
                      </v:shapetype>
                      <v:shape id="Right Triangle 30" o:spid="_x0000_s1026" type="#_x0000_t6" style="position:absolute;margin-left:-1in;margin-top:-36pt;width:784.8pt;height:180pt;flip:y;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" fillcolor="#e8e8e8" stroked="f"/>
                    </w:pict>
                  </mc:Fallback>
                </mc:AlternateContent>
              </w:r>
            </w:p>
          </w:sdtContent>
        </w:sdt>
        <w:p w14:paraId="0C822FEA" w14:textId="77777777" w:rsidR="005A7B09" w:rsidRPr="00E65B38" w:rsidRDefault="005A7B09" w:rsidP="005B4310">
          <w:pPr>
            <w:spacing w:before="3840"/>
            <w:rPr>
              <w:sz w:val="4"/>
            </w:rPr>
          </w:pPr>
          <w:bookmarkStart w:id="0" w:name="_GoBack"/>
          <w:bookmarkEnd w:id="0"/>
        </w:p>
        <w:tbl>
          <w:tblPr>
            <w:tblW w:w="10800" w:type="dxa"/>
            <w:jc w:val="center"/>
            <w:tblBorders>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2700"/>
            <w:gridCol w:w="2340"/>
            <w:gridCol w:w="5760"/>
          </w:tblGrid>
          <w:tr w:rsidR="005A7B09" w14:paraId="3518174A" w14:textId="77777777" w:rsidTr="002859B1">
            <w:trPr>
              <w:trHeight w:val="17"/>
              <w:jc w:val="center"/>
            </w:trPr>
            <w:tc>
              <w:tcPr>
                <w:tcW w:w="2700" w:type="dxa"/>
                <w:tcBorders>
                  <w:top w:val="nil"/>
                  <w:bottom w:val="single" w:sz="4" w:space="0" w:color="auto"/>
                  <w:right w:val="single" w:sz="4" w:space="0" w:color="auto"/>
                </w:tcBorders>
              </w:tcPr>
              <w:p w14:paraId="7974D203" w14:textId="76C79A9B" w:rsidR="005A7B09" w:rsidRDefault="009F3348" w:rsidP="002859B1">
                <w:pPr>
                  <w:pStyle w:val="PNNLCoverNumber"/>
                  <w:rPr>
                    <w:rFonts w:eastAsiaTheme="minorEastAsia" w:cstheme="minorBidi"/>
                  </w:rPr>
                </w:pPr>
                <w:sdt>
                  <w:sdtPr>
                    <w:alias w:val="PNNL_Number"/>
                    <w:tag w:val="PNNL_Number"/>
                    <w:id w:val="146404232"/>
                    <w:dataBinding w:prefixMappings="xmlns:ns0='PNNL_Template' " w:xpath="/ns0:projectDoc[1]/ns0:PNNL_Template[1]/ns0:PNNL_Content_Controls[1]/ns0:PNNL_Number[1]" w:storeItemID="{02D18313-9A4D-4C49-BBB5-7012767DE606}"/>
                    <w:text/>
                  </w:sdtPr>
                  <w:sdtEndPr/>
                  <w:sdtContent>
                    <w:r w:rsidR="005A7B09" w:rsidRPr="001F1D25">
                      <w:t>PNNL-</w:t>
                    </w:r>
                    <w:r>
                      <w:t>30264</w:t>
                    </w:r>
                  </w:sdtContent>
                </w:sdt>
              </w:p>
            </w:tc>
            <w:tc>
              <w:tcPr>
                <w:tcW w:w="8100" w:type="dxa"/>
                <w:gridSpan w:val="2"/>
                <w:tcBorders>
                  <w:top w:val="nil"/>
                  <w:left w:val="single" w:sz="4" w:space="0" w:color="auto"/>
                  <w:bottom w:val="single" w:sz="4" w:space="0" w:color="auto"/>
                </w:tcBorders>
              </w:tcPr>
              <w:p w14:paraId="11A9AB2A" w14:textId="1C2E6A6A" w:rsidR="005A7B09" w:rsidRPr="00C24CA6" w:rsidRDefault="005A7B09" w:rsidP="00C21D8D">
                <w:pPr>
                  <w:rPr>
                    <w:b/>
                    <w:bCs/>
                  </w:rPr>
                </w:pPr>
              </w:p>
            </w:tc>
          </w:tr>
          <w:tr w:rsidR="005A7B09" w14:paraId="4C013597" w14:textId="77777777" w:rsidTr="002859B1">
            <w:trPr>
              <w:trHeight w:hRule="exact" w:val="8136"/>
              <w:jc w:val="center"/>
            </w:trPr>
            <w:tc>
              <w:tcPr>
                <w:tcW w:w="2700" w:type="dxa"/>
                <w:tcBorders>
                  <w:top w:val="single" w:sz="4" w:space="0" w:color="auto"/>
                  <w:bottom w:val="nil"/>
                  <w:right w:val="single" w:sz="4" w:space="0" w:color="auto"/>
                </w:tcBorders>
              </w:tcPr>
              <w:p w14:paraId="78425216" w14:textId="77777777" w:rsidR="005A7B09" w:rsidRDefault="005A7B09" w:rsidP="00C21D8D"/>
            </w:tc>
            <w:tc>
              <w:tcPr>
                <w:tcW w:w="8100" w:type="dxa"/>
                <w:gridSpan w:val="2"/>
                <w:tcBorders>
                  <w:top w:val="single" w:sz="4" w:space="0" w:color="auto"/>
                  <w:left w:val="single" w:sz="4" w:space="0" w:color="auto"/>
                  <w:bottom w:val="nil"/>
                </w:tcBorders>
                <w:tcMar>
                  <w:top w:w="576" w:type="dxa"/>
                  <w:left w:w="576" w:type="dxa"/>
                  <w:bottom w:w="576" w:type="dxa"/>
                  <w:right w:w="576" w:type="dxa"/>
                </w:tcMar>
              </w:tcPr>
              <w:p w14:paraId="23541EE3" w14:textId="77777777" w:rsidR="005A7B09" w:rsidRPr="002859B1" w:rsidRDefault="00B11B6D" w:rsidP="002859B1">
                <w:pPr>
                  <w:pStyle w:val="PNNLCoverTitle"/>
                </w:pPr>
                <w:r>
                  <w:t xml:space="preserve">Identifying </w:t>
                </w:r>
                <w:r w:rsidR="00D1184F">
                  <w:t>an</w:t>
                </w:r>
                <w:r>
                  <w:t xml:space="preserve"> Appropriate Contract Length for Storage Assets Under Current PURPA Rates</w:t>
                </w:r>
              </w:p>
              <w:p w14:paraId="6D31BEE8" w14:textId="77777777" w:rsidR="005A7B09" w:rsidRPr="002859B1" w:rsidRDefault="00B11B6D" w:rsidP="002859B1">
                <w:pPr>
                  <w:pStyle w:val="PNNLCoverSubtitle"/>
                </w:pPr>
                <w:r>
                  <w:t>Report for Idaho Public Utilities Commission Staff</w:t>
                </w:r>
              </w:p>
              <w:p w14:paraId="2875BF52" w14:textId="77777777" w:rsidR="005A7B09" w:rsidRPr="002859B1" w:rsidRDefault="00B11B6D" w:rsidP="002859B1">
                <w:pPr>
                  <w:pStyle w:val="PNNLCoverDate"/>
                </w:pPr>
                <w:r>
                  <w:t>August 2020</w:t>
                </w:r>
              </w:p>
              <w:p w14:paraId="48397C23" w14:textId="77777777" w:rsidR="005A7B09" w:rsidRPr="002859B1" w:rsidRDefault="002A7EF6" w:rsidP="002859B1">
                <w:pPr>
                  <w:pStyle w:val="PNNLCoverAuthors"/>
                </w:pPr>
                <w:r>
                  <w:t xml:space="preserve">1 </w:t>
                </w:r>
                <w:r w:rsidR="00B11B6D">
                  <w:t>JB Twitchell</w:t>
                </w:r>
                <w:r>
                  <w:t xml:space="preserve"> </w:t>
                </w:r>
                <w:r>
                  <w:br/>
                </w:r>
              </w:p>
              <w:p w14:paraId="605C3244" w14:textId="77777777" w:rsidR="005A7B09" w:rsidRPr="002859B1" w:rsidRDefault="005A7B09" w:rsidP="00C21D8D"/>
            </w:tc>
          </w:tr>
          <w:tr w:rsidR="005A7B09" w14:paraId="651FE858" w14:textId="77777777" w:rsidTr="002859B1">
            <w:trPr>
              <w:trHeight w:val="50"/>
              <w:jc w:val="center"/>
            </w:trPr>
            <w:tc>
              <w:tcPr>
                <w:tcW w:w="2700" w:type="dxa"/>
                <w:vMerge w:val="restart"/>
                <w:tcBorders>
                  <w:top w:val="nil"/>
                  <w:bottom w:val="nil"/>
                  <w:right w:val="single" w:sz="4" w:space="0" w:color="auto"/>
                </w:tcBorders>
                <w:vAlign w:val="bottom"/>
              </w:tcPr>
              <w:p w14:paraId="6571C85B" w14:textId="77777777" w:rsidR="005A7B09" w:rsidRDefault="005A7B09" w:rsidP="00C21D8D"/>
            </w:tc>
            <w:tc>
              <w:tcPr>
                <w:tcW w:w="2340" w:type="dxa"/>
                <w:vMerge w:val="restart"/>
                <w:tcBorders>
                  <w:top w:val="nil"/>
                  <w:left w:val="single" w:sz="4" w:space="0" w:color="auto"/>
                  <w:bottom w:val="nil"/>
                  <w:right w:val="nil"/>
                </w:tcBorders>
                <w:tcMar>
                  <w:left w:w="576" w:type="dxa"/>
                </w:tcMar>
                <w:vAlign w:val="bottom"/>
              </w:tcPr>
              <w:p w14:paraId="5920377B" w14:textId="77777777" w:rsidR="005A7B09" w:rsidRPr="00BD7716" w:rsidRDefault="005A7B09" w:rsidP="002859B1">
                <w:pPr>
                  <w:pStyle w:val="CoverImage"/>
                  <w:ind w:left="0" w:right="0"/>
                  <w:rPr>
                    <w:sz w:val="2"/>
                  </w:rPr>
                </w:pPr>
                <w:r w:rsidRPr="001F1D25">
                  <w:rPr>
                    <w:b/>
                  </w:rPr>
                  <w:drawing>
                    <wp:inline distT="0" distB="0" distL="0" distR="0" wp14:anchorId="58CABA7D" wp14:editId="74613CC0">
                      <wp:extent cx="1022565" cy="320039"/>
                      <wp:effectExtent l="0" t="0" r="6350" b="444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OE Logo.png"/>
                              <pic:cNvPicPr/>
                            </pic:nvPicPr>
                            <pic:blipFill>
                              <a:blip r:embed="rId16"/>
                              <a:stretch>
                                <a:fillRect/>
                              </a:stretch>
                            </pic:blipFill>
                            <pic:spPr>
                              <a:xfrm>
                                <a:off x="0" y="0"/>
                                <a:ext cx="1022565" cy="320039"/>
                              </a:xfrm>
                              <a:prstGeom prst="rect">
                                <a:avLst/>
                              </a:prstGeom>
                            </pic:spPr>
                          </pic:pic>
                        </a:graphicData>
                      </a:graphic>
                    </wp:inline>
                  </w:drawing>
                </w:r>
              </w:p>
            </w:tc>
            <w:tc>
              <w:tcPr>
                <w:tcW w:w="5760" w:type="dxa"/>
                <w:tcBorders>
                  <w:top w:val="nil"/>
                  <w:left w:val="nil"/>
                  <w:bottom w:val="nil"/>
                </w:tcBorders>
              </w:tcPr>
              <w:p w14:paraId="43FD3D27" w14:textId="77777777" w:rsidR="005A7B09" w:rsidRPr="00BD7716" w:rsidRDefault="005A7B09" w:rsidP="00C21D8D">
                <w:pPr>
                  <w:pStyle w:val="CoverImage"/>
                  <w:rPr>
                    <w:sz w:val="2"/>
                  </w:rPr>
                </w:pPr>
              </w:p>
            </w:tc>
          </w:tr>
          <w:tr w:rsidR="005A7B09" w14:paraId="2D89A903" w14:textId="77777777" w:rsidTr="002859B1">
            <w:trPr>
              <w:trHeight w:val="220"/>
              <w:jc w:val="center"/>
            </w:trPr>
            <w:tc>
              <w:tcPr>
                <w:tcW w:w="2700" w:type="dxa"/>
                <w:vMerge/>
                <w:tcBorders>
                  <w:top w:val="single" w:sz="8" w:space="0" w:color="auto"/>
                  <w:bottom w:val="nil"/>
                  <w:right w:val="single" w:sz="4" w:space="0" w:color="auto"/>
                </w:tcBorders>
              </w:tcPr>
              <w:p w14:paraId="14215662" w14:textId="77777777" w:rsidR="005A7B09" w:rsidRDefault="005A7B09" w:rsidP="00C21D8D"/>
            </w:tc>
            <w:tc>
              <w:tcPr>
                <w:tcW w:w="2340" w:type="dxa"/>
                <w:vMerge/>
                <w:tcBorders>
                  <w:top w:val="single" w:sz="8" w:space="0" w:color="auto"/>
                  <w:left w:val="single" w:sz="4" w:space="0" w:color="auto"/>
                  <w:bottom w:val="nil"/>
                  <w:right w:val="single" w:sz="4" w:space="0" w:color="auto"/>
                </w:tcBorders>
                <w:vAlign w:val="bottom"/>
              </w:tcPr>
              <w:p w14:paraId="5DFB9BFB" w14:textId="77777777" w:rsidR="005A7B09" w:rsidRPr="00E65B38" w:rsidRDefault="005A7B09" w:rsidP="00C21D8D">
                <w:pPr>
                  <w:pStyle w:val="CoverImage"/>
                  <w:ind w:left="0" w:right="0"/>
                  <w:rPr>
                    <w:sz w:val="14"/>
                    <w:szCs w:val="14"/>
                  </w:rPr>
                </w:pPr>
              </w:p>
            </w:tc>
            <w:tc>
              <w:tcPr>
                <w:tcW w:w="5760" w:type="dxa"/>
                <w:tcBorders>
                  <w:top w:val="nil"/>
                  <w:left w:val="single" w:sz="4" w:space="0" w:color="auto"/>
                  <w:bottom w:val="nil"/>
                </w:tcBorders>
                <w:vAlign w:val="bottom"/>
              </w:tcPr>
              <w:p w14:paraId="189BD6BC" w14:textId="77777777" w:rsidR="005A7B09" w:rsidRPr="00E65B38" w:rsidRDefault="005A7B09" w:rsidP="002859B1">
                <w:pPr>
                  <w:pStyle w:val="PNNLCoverContract"/>
                </w:pPr>
                <w:r w:rsidRPr="00E65B38">
                  <w:t xml:space="preserve">Prepared for the U.S. Department of Energy </w:t>
                </w:r>
                <w:r>
                  <w:br/>
                </w:r>
                <w:r w:rsidRPr="00E65B38">
                  <w:t>under Contract DE-AC05-76RL01830</w:t>
                </w:r>
              </w:p>
            </w:tc>
          </w:tr>
        </w:tbl>
        <w:p w14:paraId="1525B335" w14:textId="77777777" w:rsidR="005A7B09" w:rsidRDefault="005A7B09">
          <w:pPr>
            <w:rPr>
              <w:noProof/>
              <w:sz w:val="2"/>
            </w:rPr>
          </w:pPr>
        </w:p>
        <w:p w14:paraId="6258A6EF" w14:textId="77777777" w:rsidR="005A7B09" w:rsidRDefault="005A7B09">
          <w:pPr>
            <w:rPr>
              <w:noProof/>
              <w:sz w:val="2"/>
            </w:rPr>
          </w:pPr>
        </w:p>
        <w:p w14:paraId="7E08FEE1" w14:textId="77777777" w:rsidR="005A7B09" w:rsidRDefault="005A7B09">
          <w:pPr>
            <w:rPr>
              <w:noProof/>
              <w:sz w:val="2"/>
            </w:rPr>
          </w:pPr>
        </w:p>
        <w:p w14:paraId="3A26F8B2" w14:textId="77777777" w:rsidR="005A7B09" w:rsidRDefault="005A7B09">
          <w:pPr>
            <w:tabs>
              <w:tab w:val="clear" w:pos="360"/>
              <w:tab w:val="clear" w:pos="720"/>
              <w:tab w:val="clear" w:pos="1080"/>
            </w:tabs>
            <w:rPr>
              <w:sz w:val="2"/>
            </w:rPr>
          </w:pPr>
          <w:r>
            <w:rPr>
              <w:sz w:val="2"/>
            </w:rPr>
            <w:br w:type="page"/>
          </w:r>
        </w:p>
      </w:sdtContent>
    </w:sdt>
    <w:sdt>
      <w:sdtPr>
        <w:rPr>
          <w:rFonts w:asciiTheme="minorHAnsi" w:hAnsiTheme="minorHAnsi"/>
          <w:b/>
          <w:bCs/>
          <w:color w:val="auto"/>
          <w:sz w:val="16"/>
          <w:szCs w:val="16"/>
        </w:rPr>
        <w:alias w:val="Disclaimer"/>
        <w:tag w:val="Disclaimer"/>
        <w:id w:val="-1669090927"/>
        <w:docPartList>
          <w:docPartGallery w:val="Custom 2"/>
          <w:docPartCategory w:val="PNNL_Disclaimer"/>
        </w:docPartList>
      </w:sdtPr>
      <w:sdtEndPr/>
      <w:sdtContent>
        <w:p w14:paraId="041FA15B" w14:textId="77777777" w:rsidR="009D1747" w:rsidRDefault="009D1747" w:rsidP="006022C1">
          <w:pPr>
            <w:pStyle w:val="disclaimer"/>
            <w:spacing w:before="2400"/>
            <w:jc w:val="center"/>
            <w:rPr>
              <w:b/>
              <w:bCs/>
              <w:sz w:val="16"/>
              <w:szCs w:val="16"/>
            </w:rPr>
          </w:pPr>
        </w:p>
        <w:sdt>
          <w:sdtPr>
            <w:rPr>
              <w:rFonts w:asciiTheme="minorHAnsi" w:eastAsiaTheme="minorEastAsia" w:hAnsiTheme="minorHAnsi" w:cstheme="minorBidi"/>
              <w:b/>
              <w:color w:val="auto"/>
              <w:sz w:val="22"/>
              <w:szCs w:val="22"/>
            </w:rPr>
            <w:id w:val="2140141419"/>
            <w:lock w:val="contentLocked"/>
            <w:placeholder>
              <w:docPart w:val="B8804ECF8B64487BA939868203969DBA"/>
            </w:placeholder>
            <w:group/>
          </w:sdtPr>
          <w:sdtEndPr>
            <w:rPr>
              <w:rFonts w:eastAsia="Times New Roman" w:cs="Times New Roman"/>
              <w:b w:val="0"/>
            </w:rPr>
          </w:sdtEndPr>
          <w:sdtContent>
            <w:p w14:paraId="4C7DC79F" w14:textId="77777777" w:rsidR="009D1747" w:rsidRPr="006022C1" w:rsidRDefault="009D1747" w:rsidP="006022C1">
              <w:pPr>
                <w:pStyle w:val="disclaimer"/>
                <w:spacing w:before="2400"/>
                <w:jc w:val="center"/>
                <w:rPr>
                  <w:b/>
                </w:rPr>
              </w:pPr>
              <w:r w:rsidRPr="006022C1">
                <w:rPr>
                  <w:b/>
                </w:rPr>
                <w:t>DISCLAIMER</w:t>
              </w:r>
            </w:p>
            <w:p w14:paraId="105FF502" w14:textId="77777777" w:rsidR="009D1747" w:rsidRDefault="009D1747" w:rsidP="006022C1">
              <w:pPr>
                <w:pStyle w:val="disclaimer"/>
              </w:pPr>
              <w:r>
                <w:t xml:space="preserve">This report was prepared as an account of work sponsored by an agency of the United States Government. Neither the United States Government nor any agency thereof, nor Battelle Memorial Institute, nor any of their employees, makes </w:t>
              </w:r>
              <w:r>
                <w:rPr>
                  <w:b/>
                  <w:bCs/>
                </w:rPr>
                <w:t>any warranty, express or implied, or assumes any legal liability or responsibility for the accuracy, completeness, or usefulness of any information, apparatus, product, or process disclosed, or represents that its use would not infringe privately owned rights</w:t>
              </w:r>
              <w:r>
                <w:t>. Reference herein to any specific commercial product, process, or service by trade name, trademark, manufacturer, or otherwise does not necessarily constitute or imply its endorsement, recommendation, or favoring by the United States Government or any agency thereof, or Battelle Memorial Institute. The views and opinions of authors expressed herein do not necessarily state or reflect those of the United States Government or any agency thereof.</w:t>
              </w:r>
            </w:p>
            <w:p w14:paraId="4C4703D3" w14:textId="77777777" w:rsidR="009D1747" w:rsidRPr="006022C1" w:rsidRDefault="009D1747" w:rsidP="006022C1">
              <w:pPr>
                <w:pStyle w:val="disclaimer"/>
                <w:jc w:val="center"/>
                <w:rPr>
                  <w:b/>
                  <w:sz w:val="16"/>
                </w:rPr>
              </w:pPr>
            </w:p>
            <w:p w14:paraId="5B6A9509" w14:textId="77777777" w:rsidR="009D1747" w:rsidRDefault="009D1747" w:rsidP="006022C1">
              <w:pPr>
                <w:pStyle w:val="disclaimer"/>
                <w:jc w:val="center"/>
              </w:pPr>
              <w:r>
                <w:t>PACIFIC NORTHWEST NATIONAL LABORATORY</w:t>
              </w:r>
            </w:p>
            <w:p w14:paraId="22E45CE1" w14:textId="77777777" w:rsidR="009D1747" w:rsidRPr="006022C1" w:rsidRDefault="009D1747" w:rsidP="006022C1">
              <w:pPr>
                <w:pStyle w:val="disclaimer"/>
                <w:spacing w:before="0"/>
                <w:jc w:val="center"/>
                <w:rPr>
                  <w:i/>
                </w:rPr>
              </w:pPr>
              <w:r w:rsidRPr="006022C1">
                <w:rPr>
                  <w:i/>
                </w:rPr>
                <w:t>operated by</w:t>
              </w:r>
            </w:p>
            <w:p w14:paraId="2DCBD8B7" w14:textId="77777777" w:rsidR="009D1747" w:rsidRDefault="009D1747" w:rsidP="006022C1">
              <w:pPr>
                <w:pStyle w:val="disclaimer"/>
                <w:spacing w:before="0"/>
                <w:jc w:val="center"/>
              </w:pPr>
              <w:r>
                <w:t>BATTELLE</w:t>
              </w:r>
            </w:p>
            <w:p w14:paraId="0045A812" w14:textId="77777777" w:rsidR="009D1747" w:rsidRPr="006022C1" w:rsidRDefault="009D1747" w:rsidP="006022C1">
              <w:pPr>
                <w:pStyle w:val="disclaimer"/>
                <w:spacing w:before="0"/>
                <w:jc w:val="center"/>
                <w:rPr>
                  <w:i/>
                </w:rPr>
              </w:pPr>
              <w:r w:rsidRPr="006022C1">
                <w:rPr>
                  <w:i/>
                </w:rPr>
                <w:t>for the</w:t>
              </w:r>
            </w:p>
            <w:p w14:paraId="0B4D67E0" w14:textId="77777777" w:rsidR="009D1747" w:rsidRDefault="009D1747" w:rsidP="006022C1">
              <w:pPr>
                <w:pStyle w:val="disclaimer"/>
                <w:spacing w:before="0"/>
                <w:jc w:val="center"/>
              </w:pPr>
              <w:r>
                <w:t>UNITED STATES DEPARTMENT OF ENERGY</w:t>
              </w:r>
            </w:p>
            <w:p w14:paraId="3396ABBB" w14:textId="77777777" w:rsidR="009D1747" w:rsidRPr="006022C1" w:rsidRDefault="009D1747" w:rsidP="006022C1">
              <w:pPr>
                <w:pStyle w:val="disclaimer"/>
                <w:spacing w:before="0"/>
                <w:jc w:val="center"/>
                <w:rPr>
                  <w:i/>
                </w:rPr>
              </w:pPr>
              <w:r w:rsidRPr="006022C1">
                <w:rPr>
                  <w:i/>
                </w:rPr>
                <w:t>under Contract DE-AC05-76RL01830</w:t>
              </w:r>
            </w:p>
            <w:p w14:paraId="3647055C" w14:textId="77777777" w:rsidR="009D1747" w:rsidRPr="006022C1" w:rsidRDefault="009D1747" w:rsidP="006022C1">
              <w:pPr>
                <w:pStyle w:val="disclaimer"/>
                <w:jc w:val="center"/>
                <w:rPr>
                  <w:b/>
                  <w:sz w:val="16"/>
                </w:rPr>
              </w:pPr>
            </w:p>
            <w:p w14:paraId="5DA55C3F" w14:textId="77777777" w:rsidR="009D1747" w:rsidRPr="006022C1" w:rsidRDefault="009D1747" w:rsidP="006022C1">
              <w:pPr>
                <w:pStyle w:val="disclaimer"/>
                <w:jc w:val="center"/>
                <w:rPr>
                  <w:b/>
                  <w:sz w:val="16"/>
                </w:rPr>
              </w:pPr>
              <w:r w:rsidRPr="006022C1">
                <w:rPr>
                  <w:b/>
                  <w:sz w:val="16"/>
                </w:rPr>
                <w:t>Printed in the United States of America</w:t>
              </w:r>
            </w:p>
            <w:p w14:paraId="2BD0B980" w14:textId="77777777" w:rsidR="009D1747" w:rsidRPr="006022C1" w:rsidRDefault="009D1747" w:rsidP="006022C1">
              <w:pPr>
                <w:pStyle w:val="disclaimer"/>
                <w:jc w:val="center"/>
                <w:rPr>
                  <w:b/>
                  <w:sz w:val="16"/>
                </w:rPr>
              </w:pPr>
              <w:r w:rsidRPr="006022C1">
                <w:rPr>
                  <w:b/>
                  <w:sz w:val="16"/>
                </w:rPr>
                <w:t>Available to DOE and DOE contractors from the</w:t>
              </w:r>
            </w:p>
            <w:p w14:paraId="01692A76" w14:textId="77777777" w:rsidR="009D1747" w:rsidRPr="006022C1" w:rsidRDefault="009D1747" w:rsidP="006022C1">
              <w:pPr>
                <w:pStyle w:val="disclaimer"/>
                <w:spacing w:before="0"/>
                <w:jc w:val="center"/>
                <w:rPr>
                  <w:b/>
                  <w:sz w:val="16"/>
                </w:rPr>
              </w:pPr>
              <w:r w:rsidRPr="006022C1">
                <w:rPr>
                  <w:b/>
                  <w:sz w:val="16"/>
                </w:rPr>
                <w:t>Office of Scientific and Technical Information,</w:t>
              </w:r>
            </w:p>
            <w:p w14:paraId="3A8EA4DE" w14:textId="77777777" w:rsidR="009D1747" w:rsidRPr="006022C1" w:rsidRDefault="009D1747" w:rsidP="006022C1">
              <w:pPr>
                <w:pStyle w:val="disclaimer"/>
                <w:spacing w:before="0"/>
                <w:jc w:val="center"/>
                <w:rPr>
                  <w:b/>
                  <w:sz w:val="16"/>
                </w:rPr>
              </w:pPr>
              <w:r w:rsidRPr="006022C1">
                <w:rPr>
                  <w:b/>
                  <w:sz w:val="16"/>
                </w:rPr>
                <w:t>P.O. Box 62, Oak Ridge, TN 37831-0062;</w:t>
              </w:r>
            </w:p>
            <w:p w14:paraId="0D57B4BD" w14:textId="77777777" w:rsidR="009D1747" w:rsidRPr="006022C1" w:rsidRDefault="009D1747" w:rsidP="006022C1">
              <w:pPr>
                <w:pStyle w:val="disclaimer"/>
                <w:spacing w:before="0"/>
                <w:jc w:val="center"/>
                <w:rPr>
                  <w:b/>
                  <w:sz w:val="16"/>
                </w:rPr>
              </w:pPr>
              <w:r w:rsidRPr="006022C1">
                <w:rPr>
                  <w:b/>
                  <w:sz w:val="16"/>
                </w:rPr>
                <w:t>ph: (865) 576-8401</w:t>
              </w:r>
            </w:p>
            <w:p w14:paraId="78BD7EAA" w14:textId="77777777" w:rsidR="009D1747" w:rsidRPr="006022C1" w:rsidRDefault="009D1747" w:rsidP="006022C1">
              <w:pPr>
                <w:pStyle w:val="disclaimer"/>
                <w:spacing w:before="0"/>
                <w:jc w:val="center"/>
                <w:rPr>
                  <w:b/>
                  <w:color w:val="auto"/>
                  <w:sz w:val="16"/>
                </w:rPr>
              </w:pPr>
              <w:r w:rsidRPr="006022C1">
                <w:rPr>
                  <w:b/>
                  <w:color w:val="auto"/>
                  <w:sz w:val="16"/>
                </w:rPr>
                <w:t>fax: (865) 576-5728</w:t>
              </w:r>
            </w:p>
            <w:p w14:paraId="18B12EF4" w14:textId="77777777" w:rsidR="009D1747" w:rsidRPr="006022C1" w:rsidRDefault="009D1747" w:rsidP="006022C1">
              <w:pPr>
                <w:pStyle w:val="disclaimer"/>
                <w:spacing w:before="0"/>
                <w:jc w:val="center"/>
                <w:rPr>
                  <w:b/>
                  <w:color w:val="auto"/>
                  <w:sz w:val="16"/>
                </w:rPr>
              </w:pPr>
              <w:r w:rsidRPr="006022C1">
                <w:rPr>
                  <w:b/>
                  <w:color w:val="auto"/>
                  <w:sz w:val="16"/>
                </w:rPr>
                <w:t xml:space="preserve">email: </w:t>
              </w:r>
              <w:hyperlink r:id="rId17" w:history="1">
                <w:r w:rsidRPr="006022C1">
                  <w:rPr>
                    <w:rStyle w:val="Hyperlink"/>
                    <w:b/>
                    <w:color w:val="auto"/>
                    <w:sz w:val="16"/>
                  </w:rPr>
                  <w:t>reports@adonis.osti.gov</w:t>
                </w:r>
              </w:hyperlink>
              <w:r w:rsidRPr="006022C1">
                <w:rPr>
                  <w:b/>
                  <w:color w:val="auto"/>
                  <w:sz w:val="16"/>
                </w:rPr>
                <w:t xml:space="preserve">  </w:t>
              </w:r>
            </w:p>
            <w:p w14:paraId="60630F65" w14:textId="77777777" w:rsidR="009D1747" w:rsidRPr="006022C1" w:rsidRDefault="009D1747" w:rsidP="006022C1">
              <w:pPr>
                <w:pStyle w:val="disclaimer"/>
                <w:jc w:val="center"/>
                <w:rPr>
                  <w:b/>
                  <w:color w:val="auto"/>
                  <w:sz w:val="16"/>
                </w:rPr>
              </w:pPr>
              <w:r w:rsidRPr="006022C1">
                <w:rPr>
                  <w:b/>
                  <w:color w:val="auto"/>
                  <w:sz w:val="16"/>
                </w:rPr>
                <w:t>Available to the public from the National Technical Information Service</w:t>
              </w:r>
            </w:p>
            <w:p w14:paraId="53527DD7" w14:textId="77777777" w:rsidR="009D1747" w:rsidRPr="006022C1" w:rsidRDefault="009D1747" w:rsidP="006022C1">
              <w:pPr>
                <w:pStyle w:val="disclaimer"/>
                <w:spacing w:before="0"/>
                <w:jc w:val="center"/>
                <w:rPr>
                  <w:b/>
                  <w:color w:val="auto"/>
                  <w:sz w:val="16"/>
                </w:rPr>
              </w:pPr>
              <w:r w:rsidRPr="006022C1">
                <w:rPr>
                  <w:b/>
                  <w:color w:val="auto"/>
                  <w:sz w:val="16"/>
                </w:rPr>
                <w:t>5301 Shawnee Rd., Alexandria, VA 22312</w:t>
              </w:r>
            </w:p>
            <w:p w14:paraId="1EB28D61" w14:textId="77777777" w:rsidR="009D1747" w:rsidRPr="006022C1" w:rsidRDefault="009D1747" w:rsidP="006022C1">
              <w:pPr>
                <w:pStyle w:val="disclaimer"/>
                <w:spacing w:before="0"/>
                <w:jc w:val="center"/>
                <w:rPr>
                  <w:b/>
                  <w:color w:val="auto"/>
                  <w:sz w:val="16"/>
                </w:rPr>
              </w:pPr>
              <w:r w:rsidRPr="006022C1">
                <w:rPr>
                  <w:b/>
                  <w:color w:val="auto"/>
                  <w:sz w:val="16"/>
                </w:rPr>
                <w:t>ph: (800) 553-NTIS (6847)</w:t>
              </w:r>
            </w:p>
            <w:p w14:paraId="42E687C6" w14:textId="77777777" w:rsidR="009D1747" w:rsidRPr="006022C1" w:rsidRDefault="009D1747" w:rsidP="006022C1">
              <w:pPr>
                <w:pStyle w:val="disclaimer"/>
                <w:spacing w:before="0"/>
                <w:jc w:val="center"/>
                <w:rPr>
                  <w:b/>
                  <w:color w:val="auto"/>
                  <w:sz w:val="16"/>
                </w:rPr>
              </w:pPr>
              <w:r w:rsidRPr="006022C1">
                <w:rPr>
                  <w:b/>
                  <w:color w:val="auto"/>
                  <w:sz w:val="16"/>
                </w:rPr>
                <w:t>email: orders@ntis.gov &lt;</w:t>
              </w:r>
              <w:hyperlink r:id="rId18" w:history="1">
                <w:r w:rsidRPr="006022C1">
                  <w:rPr>
                    <w:rStyle w:val="Hyperlink"/>
                    <w:b/>
                    <w:color w:val="auto"/>
                    <w:sz w:val="16"/>
                  </w:rPr>
                  <w:t>https://www.ntis.gov/about</w:t>
                </w:r>
              </w:hyperlink>
              <w:r w:rsidRPr="006022C1">
                <w:rPr>
                  <w:b/>
                  <w:color w:val="auto"/>
                  <w:sz w:val="16"/>
                </w:rPr>
                <w:t>&gt;</w:t>
              </w:r>
            </w:p>
            <w:p w14:paraId="20F37FFD" w14:textId="77777777" w:rsidR="009D1747" w:rsidRPr="00865BB6" w:rsidRDefault="009D1747" w:rsidP="00865BB6">
              <w:pPr>
                <w:pStyle w:val="disclaimer"/>
                <w:spacing w:before="0"/>
                <w:jc w:val="center"/>
                <w:rPr>
                  <w:b/>
                  <w:color w:val="auto"/>
                  <w:sz w:val="16"/>
                </w:rPr>
              </w:pPr>
              <w:r w:rsidRPr="00865BB6">
                <w:rPr>
                  <w:b/>
                  <w:color w:val="auto"/>
                  <w:sz w:val="16"/>
                </w:rPr>
                <w:t xml:space="preserve">Online ordering: </w:t>
              </w:r>
              <w:hyperlink r:id="rId19" w:history="1">
                <w:r w:rsidRPr="00865BB6">
                  <w:rPr>
                    <w:rStyle w:val="Hyperlink"/>
                    <w:b/>
                    <w:color w:val="auto"/>
                    <w:sz w:val="16"/>
                  </w:rPr>
                  <w:t>http://www.ntis.gov</w:t>
                </w:r>
              </w:hyperlink>
            </w:p>
            <w:p w14:paraId="3881C435" w14:textId="77777777" w:rsidR="009D1747" w:rsidRDefault="009F3348" w:rsidP="00073F64">
              <w:pPr>
                <w:spacing w:before="240"/>
                <w:jc w:val="center"/>
              </w:pPr>
            </w:p>
          </w:sdtContent>
        </w:sdt>
        <w:p w14:paraId="6551010A" w14:textId="77777777" w:rsidR="009D1747" w:rsidRDefault="009D1747" w:rsidP="00073F64">
          <w:pPr>
            <w:autoSpaceDE w:val="0"/>
            <w:autoSpaceDN w:val="0"/>
            <w:adjustRightInd w:val="0"/>
            <w:spacing w:before="240"/>
            <w:jc w:val="center"/>
            <w:rPr>
              <w:rFonts w:ascii="Times New Roman" w:hAnsi="Times New Roman"/>
              <w:b/>
              <w:bCs/>
              <w:color w:val="000000"/>
              <w:sz w:val="16"/>
              <w:szCs w:val="16"/>
            </w:rPr>
          </w:pPr>
        </w:p>
        <w:p w14:paraId="6FA1CA07" w14:textId="77777777" w:rsidR="00073F64" w:rsidRDefault="009F3348" w:rsidP="00073F64">
          <w:pPr>
            <w:tabs>
              <w:tab w:val="clear" w:pos="360"/>
              <w:tab w:val="clear" w:pos="720"/>
              <w:tab w:val="clear" w:pos="1080"/>
            </w:tabs>
            <w:autoSpaceDE w:val="0"/>
            <w:autoSpaceDN w:val="0"/>
            <w:adjustRightInd w:val="0"/>
            <w:spacing w:before="240"/>
            <w:jc w:val="center"/>
            <w:rPr>
              <w:rFonts w:ascii="Times New Roman" w:hAnsi="Times New Roman"/>
              <w:b/>
              <w:bCs/>
              <w:color w:val="000000"/>
              <w:sz w:val="16"/>
              <w:szCs w:val="16"/>
            </w:rPr>
          </w:pPr>
        </w:p>
      </w:sdtContent>
    </w:sdt>
    <w:p w14:paraId="2CD04FE0" w14:textId="77777777" w:rsidR="001259E8" w:rsidRPr="009D1747" w:rsidRDefault="001259E8" w:rsidP="009D1747"/>
    <w:p w14:paraId="4E951C6A" w14:textId="77777777" w:rsidR="00073F64" w:rsidRPr="009D1747" w:rsidRDefault="00073F64" w:rsidP="009D1747">
      <w:pPr>
        <w:sectPr w:rsidR="00073F64" w:rsidRPr="009D1747" w:rsidSect="00CE0BFD">
          <w:footerReference w:type="even" r:id="rId20"/>
          <w:footnotePr>
            <w:numRestart w:val="eachPage"/>
          </w:footnotePr>
          <w:pgSz w:w="12240" w:h="15840" w:code="1"/>
          <w:pgMar w:top="720" w:right="1440" w:bottom="720" w:left="1440" w:header="360" w:footer="360" w:gutter="0"/>
          <w:pgNumType w:start="0" w:chapStyle="1" w:chapSep="period"/>
          <w:cols w:space="720"/>
          <w:titlePg/>
          <w:docGrid w:linePitch="299"/>
        </w:sectPr>
      </w:pPr>
    </w:p>
    <w:p w14:paraId="496FF8C2" w14:textId="77777777" w:rsidR="00E12AF4" w:rsidRDefault="004F3B69" w:rsidP="00D30DC8">
      <w:pPr>
        <w:pStyle w:val="Heading1"/>
      </w:pPr>
      <w:bookmarkStart w:id="1" w:name="_Toc512508458"/>
      <w:r>
        <w:lastRenderedPageBreak/>
        <w:t>I</w:t>
      </w:r>
      <w:r w:rsidR="00552227">
        <w:t>ntroduction</w:t>
      </w:r>
      <w:bookmarkEnd w:id="1"/>
      <w:r w:rsidR="00B11B6D">
        <w:t xml:space="preserve"> and Summary</w:t>
      </w:r>
    </w:p>
    <w:p w14:paraId="67A6F3AE" w14:textId="73416D3F" w:rsidR="00BC3AAA" w:rsidRDefault="00B11B6D" w:rsidP="00EA62AA">
      <w:pPr>
        <w:pStyle w:val="BodyText"/>
      </w:pPr>
      <w:r>
        <w:t xml:space="preserve">This report details the results of analysis conducted </w:t>
      </w:r>
      <w:r w:rsidR="001C695F">
        <w:t xml:space="preserve">at the Pacific Northwest National Laboratory (PNNL) </w:t>
      </w:r>
      <w:r>
        <w:t xml:space="preserve">on behalf of </w:t>
      </w:r>
      <w:r w:rsidR="00622C77">
        <w:t>s</w:t>
      </w:r>
      <w:r>
        <w:t xml:space="preserve">taff at that Idaho Public Utilities Commission </w:t>
      </w:r>
      <w:r w:rsidR="002D232A">
        <w:t xml:space="preserve">(IPUC) </w:t>
      </w:r>
      <w:r>
        <w:t xml:space="preserve">to evaluate the role of energy storage within the current avoided cost rate schedules that Idaho Power has developed pursuant to the Public Utilities Regulatory Policy Act (PURPA). The specific objectives of the analysis were to determine whether energy storage assets would have a reasonable opportunity to recover their costs under current rate structures, and if so, what contract length would be necessary to enable them to do so. </w:t>
      </w:r>
    </w:p>
    <w:p w14:paraId="0ADF45D0" w14:textId="77777777" w:rsidR="002D232A" w:rsidRDefault="002D232A" w:rsidP="00EA62AA">
      <w:pPr>
        <w:pStyle w:val="BodyText"/>
      </w:pPr>
      <w:r>
        <w:t>The purpose of this report is to provide objective information to IPUC staff for consideration as staff develops recommendation</w:t>
      </w:r>
      <w:r w:rsidR="00732AC4">
        <w:t>s</w:t>
      </w:r>
      <w:r>
        <w:t xml:space="preserve"> to commissioners on current and future proceedings related to PURPA im</w:t>
      </w:r>
      <w:r w:rsidR="00D1184F">
        <w:t>plementation</w:t>
      </w:r>
      <w:r>
        <w:t xml:space="preserve">. Nothing in this report is </w:t>
      </w:r>
      <w:r w:rsidR="00D1184F">
        <w:t>intended</w:t>
      </w:r>
      <w:r>
        <w:t xml:space="preserve"> as a recommendation</w:t>
      </w:r>
      <w:r w:rsidR="00732AC4">
        <w:t xml:space="preserve"> for what course staff or the commission should take, and should not be taken as such. </w:t>
      </w:r>
    </w:p>
    <w:p w14:paraId="3285E9BF" w14:textId="6266C6FA" w:rsidR="005A2A8E" w:rsidRDefault="005A2A8E" w:rsidP="00EA62AA">
      <w:pPr>
        <w:pStyle w:val="BodyText"/>
      </w:pPr>
      <w:r>
        <w:t>After extensive analysis considering different time horizons and multiple sizes and configuration of energy storage both as a standalone asset and coupled with solar photovoltaic (PV) generation, PNNL was unable to identify any scenario under which an energy storage asset would have a reasonable opportunity to recover its costs</w:t>
      </w:r>
      <w:r w:rsidR="008639BE">
        <w:t xml:space="preserve"> as a qualifying facility (QF)</w:t>
      </w:r>
      <w:r>
        <w:t xml:space="preserve"> under current rate structures.</w:t>
      </w:r>
      <w:r w:rsidR="003278AD">
        <w:t xml:space="preserve"> </w:t>
      </w:r>
      <w:r>
        <w:t xml:space="preserve"> </w:t>
      </w:r>
    </w:p>
    <w:p w14:paraId="56650C2B" w14:textId="44469DC7" w:rsidR="005A2A8E" w:rsidRDefault="005A2A8E" w:rsidP="00EA62AA">
      <w:pPr>
        <w:pStyle w:val="BodyText"/>
      </w:pPr>
      <w:r>
        <w:t xml:space="preserve">These findings come with an important caveat. This analysis was conducted </w:t>
      </w:r>
      <w:r w:rsidR="009544F0">
        <w:t>using</w:t>
      </w:r>
      <w:r>
        <w:t xml:space="preserve"> a</w:t>
      </w:r>
      <w:r w:rsidR="009544F0">
        <w:t xml:space="preserve">n avoided cost </w:t>
      </w:r>
      <w:r>
        <w:t xml:space="preserve">schedule with very little granularity, which </w:t>
      </w:r>
      <w:r w:rsidR="00732AC4">
        <w:t xml:space="preserve">prevented energy storage assets </w:t>
      </w:r>
      <w:r w:rsidR="0021605F">
        <w:t xml:space="preserve">from </w:t>
      </w:r>
      <w:r w:rsidR="00732AC4">
        <w:t>providing any incremental value</w:t>
      </w:r>
      <w:r>
        <w:t xml:space="preserve">. </w:t>
      </w:r>
      <w:r w:rsidR="0021605F">
        <w:t>An avoided cost structure such as this</w:t>
      </w:r>
      <w:r w:rsidR="002D232A">
        <w:t xml:space="preserve"> create</w:t>
      </w:r>
      <w:r w:rsidR="0021605F">
        <w:t>s</w:t>
      </w:r>
      <w:r w:rsidR="002D232A">
        <w:t xml:space="preserve"> no incentive for an independent power producer who sells their power to Idaho Power under PURPA to shape or shift that energy production, which would be the primary function of energy storage in a PURPA contract. In this </w:t>
      </w:r>
      <w:r w:rsidR="00732AC4">
        <w:t>situation</w:t>
      </w:r>
      <w:r w:rsidR="002D232A">
        <w:t>, adding storage to a generati</w:t>
      </w:r>
      <w:r w:rsidR="00732AC4">
        <w:t xml:space="preserve">on </w:t>
      </w:r>
      <w:r w:rsidR="002D232A">
        <w:t>resource adds costs</w:t>
      </w:r>
      <w:r w:rsidR="0021605F">
        <w:t>, but does not add any value.</w:t>
      </w:r>
      <w:r w:rsidR="008639BE">
        <w:t xml:space="preserve"> In fact, because storage is a net energy loser – that is, it loses energy during the charge/discharge cycle and returns less energy to the grid than what it took in – passing a QF’s energy production through the storage without </w:t>
      </w:r>
      <w:r w:rsidR="00602C53">
        <w:t xml:space="preserve">earning any additional revenue by doing so </w:t>
      </w:r>
      <w:r w:rsidR="008639BE">
        <w:t xml:space="preserve">would actually reduce the project’s overall output and decrease its revenue. </w:t>
      </w:r>
    </w:p>
    <w:p w14:paraId="7D90A7E8" w14:textId="77777777" w:rsidR="00B11B6D" w:rsidRDefault="002D232A" w:rsidP="00EA62AA">
      <w:pPr>
        <w:pStyle w:val="BodyText"/>
      </w:pPr>
      <w:r>
        <w:t xml:space="preserve">This analysis suggests that if the objective of the IPUC is to create a viable participation model for </w:t>
      </w:r>
      <w:r w:rsidR="00732AC4">
        <w:t xml:space="preserve">energy storage assets under PURPA, more granular avoided costs and rates would be necessary. </w:t>
      </w:r>
    </w:p>
    <w:p w14:paraId="31866AC4" w14:textId="77777777" w:rsidR="00732AC4" w:rsidRDefault="00732AC4" w:rsidP="00EA62AA">
      <w:pPr>
        <w:pStyle w:val="BodyText"/>
      </w:pPr>
      <w:r>
        <w:t xml:space="preserve">The remainder of this report will provide additional detail about the analysis and conclusions. Section 2 describes the analytical approach and its findings, while Section </w:t>
      </w:r>
      <w:r w:rsidR="00F4735E">
        <w:t>3</w:t>
      </w:r>
      <w:r>
        <w:t xml:space="preserve"> </w:t>
      </w:r>
      <w:r w:rsidR="00426284">
        <w:t>discusses</w:t>
      </w:r>
      <w:r w:rsidR="007A6C09">
        <w:t xml:space="preserve"> the implications of those findings.</w:t>
      </w:r>
    </w:p>
    <w:p w14:paraId="0CBAA1DF" w14:textId="77777777" w:rsidR="00F4735E" w:rsidRDefault="00F4735E">
      <w:pPr>
        <w:tabs>
          <w:tab w:val="clear" w:pos="360"/>
          <w:tab w:val="clear" w:pos="720"/>
          <w:tab w:val="clear" w:pos="1080"/>
        </w:tabs>
      </w:pPr>
      <w:r>
        <w:br w:type="page"/>
      </w:r>
    </w:p>
    <w:p w14:paraId="6EE0921E" w14:textId="77777777" w:rsidR="00F4735E" w:rsidRDefault="00F4735E" w:rsidP="00F4735E">
      <w:pPr>
        <w:pStyle w:val="Heading1"/>
      </w:pPr>
      <w:r>
        <w:lastRenderedPageBreak/>
        <w:t>Analytical Approach</w:t>
      </w:r>
    </w:p>
    <w:p w14:paraId="38528C40" w14:textId="77777777" w:rsidR="0021605F" w:rsidRDefault="0021605F" w:rsidP="0021605F">
      <w:pPr>
        <w:tabs>
          <w:tab w:val="clear" w:pos="360"/>
          <w:tab w:val="clear" w:pos="720"/>
          <w:tab w:val="clear" w:pos="1080"/>
        </w:tabs>
        <w:spacing w:before="240"/>
      </w:pPr>
      <w:r>
        <w:t xml:space="preserve">The objective of this analysis was to identify under what circumstances it would be possible for an energy storage asset to recover its costs within Idaho Power’s current avoided cost schedule. To enable the analysis, IPUC staff provided PNNL with an avoided cost schedule that Idaho Power provided to staff during discovery in a current proceeding involving PURPA implementation. </w:t>
      </w:r>
    </w:p>
    <w:p w14:paraId="51DB36C2" w14:textId="77777777" w:rsidR="0021605F" w:rsidRDefault="0021605F" w:rsidP="0021605F">
      <w:pPr>
        <w:tabs>
          <w:tab w:val="clear" w:pos="360"/>
          <w:tab w:val="clear" w:pos="720"/>
          <w:tab w:val="clear" w:pos="1080"/>
        </w:tabs>
        <w:spacing w:before="240"/>
      </w:pPr>
      <w:r>
        <w:t>Key characteristics of the avoided cost schedule are:</w:t>
      </w:r>
    </w:p>
    <w:p w14:paraId="61D0A391" w14:textId="77777777" w:rsidR="0021605F" w:rsidRDefault="0021605F" w:rsidP="00223F16">
      <w:pPr>
        <w:pStyle w:val="ListParagraph"/>
        <w:numPr>
          <w:ilvl w:val="0"/>
          <w:numId w:val="38"/>
        </w:numPr>
        <w:tabs>
          <w:tab w:val="clear" w:pos="360"/>
          <w:tab w:val="clear" w:pos="720"/>
          <w:tab w:val="clear" w:pos="1080"/>
        </w:tabs>
        <w:spacing w:before="120" w:after="120"/>
        <w:contextualSpacing w:val="0"/>
      </w:pPr>
      <w:r>
        <w:t>Avoided costs are provided at monthly resolution through 2036</w:t>
      </w:r>
    </w:p>
    <w:p w14:paraId="1C1FCB84" w14:textId="77777777" w:rsidR="0021605F" w:rsidRDefault="0021605F" w:rsidP="00223F16">
      <w:pPr>
        <w:pStyle w:val="ListParagraph"/>
        <w:numPr>
          <w:ilvl w:val="0"/>
          <w:numId w:val="38"/>
        </w:numPr>
        <w:tabs>
          <w:tab w:val="clear" w:pos="360"/>
          <w:tab w:val="clear" w:pos="720"/>
          <w:tab w:val="clear" w:pos="1080"/>
        </w:tabs>
        <w:spacing w:after="120"/>
        <w:contextualSpacing w:val="0"/>
      </w:pPr>
      <w:r>
        <w:t>There is a secondary breakdown on a daily basis between heavy load hours (7 a.m. to 10 p.m., Monday-Saturday excluding holidays) and light load hours (all other hours), with high load hours generally having slightly higher avoided costs</w:t>
      </w:r>
    </w:p>
    <w:p w14:paraId="0ACF58A1" w14:textId="77777777" w:rsidR="0021605F" w:rsidRDefault="0021605F" w:rsidP="00223F16">
      <w:pPr>
        <w:pStyle w:val="ListParagraph"/>
        <w:numPr>
          <w:ilvl w:val="0"/>
          <w:numId w:val="38"/>
        </w:numPr>
        <w:tabs>
          <w:tab w:val="clear" w:pos="360"/>
          <w:tab w:val="clear" w:pos="720"/>
          <w:tab w:val="clear" w:pos="1080"/>
        </w:tabs>
        <w:spacing w:after="120"/>
        <w:contextualSpacing w:val="0"/>
      </w:pPr>
      <w:r>
        <w:t>Capacity payments do not begin until 2026, and are then levelized on an annual basis across all hours of the year</w:t>
      </w:r>
    </w:p>
    <w:p w14:paraId="4F87CB84" w14:textId="77777777" w:rsidR="00223F16" w:rsidRDefault="0021605F" w:rsidP="00223F16">
      <w:pPr>
        <w:pStyle w:val="ListParagraph"/>
        <w:numPr>
          <w:ilvl w:val="0"/>
          <w:numId w:val="38"/>
        </w:numPr>
        <w:tabs>
          <w:tab w:val="clear" w:pos="360"/>
          <w:tab w:val="clear" w:pos="720"/>
          <w:tab w:val="clear" w:pos="1080"/>
        </w:tabs>
        <w:spacing w:before="240"/>
      </w:pPr>
      <w:r>
        <w:t>There are different avoided cost</w:t>
      </w:r>
      <w:r w:rsidR="001C695F">
        <w:t xml:space="preserve">s </w:t>
      </w:r>
      <w:r>
        <w:t>for baseload resources and for solar resources</w:t>
      </w:r>
      <w:r w:rsidR="00223F16">
        <w:t>.</w:t>
      </w:r>
    </w:p>
    <w:p w14:paraId="2797552E" w14:textId="77777777" w:rsidR="0021605F" w:rsidRDefault="00223F16" w:rsidP="00223F16">
      <w:pPr>
        <w:tabs>
          <w:tab w:val="clear" w:pos="360"/>
          <w:tab w:val="clear" w:pos="720"/>
          <w:tab w:val="clear" w:pos="1080"/>
        </w:tabs>
        <w:spacing w:before="240"/>
      </w:pPr>
      <w:r>
        <w:t>While b</w:t>
      </w:r>
      <w:r w:rsidR="0021605F">
        <w:t xml:space="preserve">aseload resources generally receive slightly higher </w:t>
      </w:r>
      <w:r>
        <w:t xml:space="preserve">avoided cost </w:t>
      </w:r>
      <w:r w:rsidR="0021605F">
        <w:t>rates</w:t>
      </w:r>
      <w:r>
        <w:t xml:space="preserve"> through 2025, solar resources receive significantly higher rates from 2026-2036 </w:t>
      </w:r>
      <w:r w:rsidR="00426284">
        <w:t>because they are given</w:t>
      </w:r>
      <w:r>
        <w:t xml:space="preserve"> higher avoided capacity costs</w:t>
      </w:r>
      <w:r w:rsidR="00426284">
        <w:t xml:space="preserve"> than baseload resources</w:t>
      </w:r>
      <w:r>
        <w:t xml:space="preserve">. IPUC staff informed PNNL that the differential is due to solar generation aligning better with the utility’s summer peaks than baseload generation. </w:t>
      </w:r>
      <w:r w:rsidR="00C97F5E">
        <w:t xml:space="preserve">Because a storage QF would be able to provide energy and capacity to the grid when needed, IPUC staff and PNNL agreed that the solar rates would be more appropriate to use for the analysis. </w:t>
      </w:r>
    </w:p>
    <w:p w14:paraId="73AB9176" w14:textId="77777777" w:rsidR="00C97F5E" w:rsidRDefault="00C97F5E" w:rsidP="00223F16">
      <w:pPr>
        <w:tabs>
          <w:tab w:val="clear" w:pos="360"/>
          <w:tab w:val="clear" w:pos="720"/>
          <w:tab w:val="clear" w:pos="1080"/>
        </w:tabs>
        <w:spacing w:before="240"/>
      </w:pPr>
      <w:r>
        <w:t>The Federal Energy Regulatory Commission (FERC) is responsible for establishing the regulations that govern PURPA implementation. Its rules on PURPA’s small power purchasing requirements state that a qualifying facility (QF) must be at least 75 percent powered by a PURPA-eligible fuel source (biomass, waste fuel, renewables, or geothermal).</w:t>
      </w:r>
      <w:r>
        <w:rPr>
          <w:rStyle w:val="FootnoteReference"/>
        </w:rPr>
        <w:footnoteReference w:id="2"/>
      </w:r>
      <w:r>
        <w:t xml:space="preserve"> FERC has extended that principle to energy storage, ruling that storage can be a QF as long as it is at least 75 percent charged by a </w:t>
      </w:r>
      <w:r w:rsidR="00426284">
        <w:t>generator powered by a PURPA-eligible fuel source</w:t>
      </w:r>
      <w:r>
        <w:t>.</w:t>
      </w:r>
      <w:r>
        <w:rPr>
          <w:rStyle w:val="FootnoteReference"/>
        </w:rPr>
        <w:footnoteReference w:id="3"/>
      </w:r>
    </w:p>
    <w:p w14:paraId="17F84E36" w14:textId="77777777" w:rsidR="00223F16" w:rsidRDefault="0025604F" w:rsidP="00223F16">
      <w:pPr>
        <w:tabs>
          <w:tab w:val="clear" w:pos="360"/>
          <w:tab w:val="clear" w:pos="720"/>
          <w:tab w:val="clear" w:pos="1080"/>
        </w:tabs>
        <w:spacing w:before="240"/>
      </w:pPr>
      <w:r>
        <w:t xml:space="preserve">Based on that requirement, PNNL assumed that an energy storage QF would have to be connected to an eligible generator, and that based on development trends and economics, pairing the storage with PV generation made the most sense. </w:t>
      </w:r>
    </w:p>
    <w:p w14:paraId="2BDD284A" w14:textId="77777777" w:rsidR="00EC0333" w:rsidRDefault="00EC0333" w:rsidP="00EC0333">
      <w:pPr>
        <w:pStyle w:val="Heading2"/>
      </w:pPr>
      <w:r>
        <w:t>Data Sources</w:t>
      </w:r>
      <w:r w:rsidR="006E6ED0">
        <w:t xml:space="preserve"> and Assumptions</w:t>
      </w:r>
    </w:p>
    <w:p w14:paraId="5E5F5AF9" w14:textId="2E0B9C10" w:rsidR="0025604F" w:rsidRDefault="0025604F" w:rsidP="00223F16">
      <w:pPr>
        <w:tabs>
          <w:tab w:val="clear" w:pos="360"/>
          <w:tab w:val="clear" w:pos="720"/>
          <w:tab w:val="clear" w:pos="1080"/>
        </w:tabs>
        <w:spacing w:before="240"/>
      </w:pPr>
      <w:r>
        <w:t xml:space="preserve">Generation profiles for PV resources were obtained from the National Renewable Energy Laboratory (NREL) </w:t>
      </w:r>
      <w:proofErr w:type="spellStart"/>
      <w:r>
        <w:t>PVWatts</w:t>
      </w:r>
      <w:proofErr w:type="spellEnd"/>
      <w:r>
        <w:t xml:space="preserve"> calculator (</w:t>
      </w:r>
      <w:hyperlink r:id="rId21" w:history="1">
        <w:r>
          <w:rPr>
            <w:rStyle w:val="Hyperlink"/>
          </w:rPr>
          <w:t>https://pvwatts.nrel.gov/pvwatts.php</w:t>
        </w:r>
      </w:hyperlink>
      <w:r>
        <w:t>), which is a web-based tool that allows users to input a location and configuration for a</w:t>
      </w:r>
      <w:r w:rsidR="00426284">
        <w:t xml:space="preserve"> hypothetical</w:t>
      </w:r>
      <w:r>
        <w:t xml:space="preserve"> PV generator. Using several years of </w:t>
      </w:r>
      <w:r w:rsidR="00EC0333">
        <w:t xml:space="preserve">solar </w:t>
      </w:r>
      <w:r w:rsidR="00A5690D">
        <w:t>ir</w:t>
      </w:r>
      <w:r>
        <w:t>radiation dat</w:t>
      </w:r>
      <w:r w:rsidR="00EC0333">
        <w:t>a</w:t>
      </w:r>
      <w:r>
        <w:t xml:space="preserve"> for the identified site and </w:t>
      </w:r>
      <w:r w:rsidR="00426284">
        <w:t xml:space="preserve">historical </w:t>
      </w:r>
      <w:r>
        <w:t>production</w:t>
      </w:r>
      <w:r w:rsidR="00426284">
        <w:t xml:space="preserve"> data</w:t>
      </w:r>
      <w:r>
        <w:t xml:space="preserve"> from nearby PV facilities, </w:t>
      </w:r>
      <w:proofErr w:type="spellStart"/>
      <w:r w:rsidR="00EC0333">
        <w:t>PVWatts</w:t>
      </w:r>
      <w:proofErr w:type="spellEnd"/>
      <w:r w:rsidR="00EC0333">
        <w:t xml:space="preserve"> estimates average annual production for the facility at hourly and monthly granularity. Th</w:t>
      </w:r>
      <w:r w:rsidR="00426284">
        <w:t>is</w:t>
      </w:r>
      <w:r w:rsidR="00EC0333">
        <w:t xml:space="preserve"> analysis used the location “Boise, ID,” which identified the area shown in figure 1:</w:t>
      </w:r>
    </w:p>
    <w:p w14:paraId="0B31F63A" w14:textId="77777777" w:rsidR="00EC0333" w:rsidRDefault="00EC0333" w:rsidP="006E6ED0">
      <w:pPr>
        <w:tabs>
          <w:tab w:val="clear" w:pos="360"/>
          <w:tab w:val="clear" w:pos="720"/>
          <w:tab w:val="clear" w:pos="1080"/>
        </w:tabs>
        <w:spacing w:before="240"/>
        <w:jc w:val="center"/>
      </w:pPr>
      <w:r>
        <w:rPr>
          <w:noProof/>
        </w:rPr>
        <w:lastRenderedPageBreak/>
        <w:drawing>
          <wp:inline distT="0" distB="0" distL="0" distR="0" wp14:anchorId="51648ECE" wp14:editId="19C754D2">
            <wp:extent cx="4264770" cy="300037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4275436" cy="3007879"/>
                    </a:xfrm>
                    <a:prstGeom prst="rect">
                      <a:avLst/>
                    </a:prstGeom>
                  </pic:spPr>
                </pic:pic>
              </a:graphicData>
            </a:graphic>
          </wp:inline>
        </w:drawing>
      </w:r>
    </w:p>
    <w:p w14:paraId="16BFB48A" w14:textId="77777777" w:rsidR="00223F16" w:rsidRPr="00CC6C6F" w:rsidRDefault="00EC0333" w:rsidP="00EC0333">
      <w:pPr>
        <w:pStyle w:val="Caption-Fig"/>
        <w:rPr>
          <w:b/>
          <w:bCs/>
        </w:rPr>
      </w:pPr>
      <w:r w:rsidRPr="00CC6C6F">
        <w:rPr>
          <w:b/>
          <w:bCs/>
        </w:rPr>
        <w:t xml:space="preserve">Figure 1: </w:t>
      </w:r>
      <w:r w:rsidR="008639BE">
        <w:rPr>
          <w:b/>
          <w:bCs/>
        </w:rPr>
        <w:t>Area</w:t>
      </w:r>
      <w:r w:rsidRPr="00CC6C6F">
        <w:rPr>
          <w:b/>
          <w:bCs/>
        </w:rPr>
        <w:t xml:space="preserve"> used for PV production calculation in </w:t>
      </w:r>
      <w:proofErr w:type="spellStart"/>
      <w:r w:rsidRPr="00CC6C6F">
        <w:rPr>
          <w:b/>
          <w:bCs/>
        </w:rPr>
        <w:t>PVWatts</w:t>
      </w:r>
      <w:proofErr w:type="spellEnd"/>
      <w:r w:rsidRPr="00CC6C6F">
        <w:rPr>
          <w:b/>
          <w:bCs/>
        </w:rPr>
        <w:t xml:space="preserve">. </w:t>
      </w:r>
    </w:p>
    <w:p w14:paraId="537DBEB7" w14:textId="77777777" w:rsidR="00EC0333" w:rsidRDefault="00EC0333" w:rsidP="00EC0333">
      <w:pPr>
        <w:spacing w:after="240"/>
      </w:pPr>
      <w:r>
        <w:t xml:space="preserve">PNNL downloaded </w:t>
      </w:r>
      <w:r w:rsidR="006C3533">
        <w:t>production estimates</w:t>
      </w:r>
      <w:r>
        <w:t xml:space="preserve"> for </w:t>
      </w:r>
      <w:r w:rsidR="006C3533">
        <w:t>hypothetical f</w:t>
      </w:r>
      <w:r>
        <w:t xml:space="preserve">acilities of </w:t>
      </w:r>
      <w:r w:rsidR="006C3533">
        <w:t>20 megawatts (MW), 50 MW, and 80 MW of both fixed-tilt and single-axis tracking variants</w:t>
      </w:r>
      <w:r>
        <w:t xml:space="preserve"> to test the economics of multiple </w:t>
      </w:r>
      <w:r w:rsidR="00426284">
        <w:t>project configurations.</w:t>
      </w:r>
    </w:p>
    <w:p w14:paraId="1A0A4F3F" w14:textId="77777777" w:rsidR="00EC0333" w:rsidRDefault="005D62C5" w:rsidP="00EC0333">
      <w:pPr>
        <w:spacing w:after="240"/>
      </w:pPr>
      <w:r>
        <w:t>For the energy storage component, PNNL assumed that based on commercially available technologies, a lithium-ion battery would be selected. Cost and performance data for the battery were obtained from a recent publication prepared by multiple national laboratories.</w:t>
      </w:r>
      <w:r>
        <w:rPr>
          <w:rStyle w:val="FootnoteReference"/>
        </w:rPr>
        <w:footnoteReference w:id="4"/>
      </w:r>
      <w:r>
        <w:t xml:space="preserve"> Key performance </w:t>
      </w:r>
      <w:r w:rsidR="006C3533">
        <w:t>assumptions</w:t>
      </w:r>
      <w:r>
        <w:t xml:space="preserve"> for the lithium</w:t>
      </w:r>
      <w:r w:rsidR="006C3533">
        <w:t>-ion</w:t>
      </w:r>
      <w:r>
        <w:t xml:space="preserve"> battery are:</w:t>
      </w:r>
    </w:p>
    <w:p w14:paraId="188ED26C" w14:textId="77777777" w:rsidR="005D62C5" w:rsidRDefault="005D62C5" w:rsidP="005D62C5">
      <w:pPr>
        <w:pStyle w:val="ListParagraph"/>
        <w:numPr>
          <w:ilvl w:val="0"/>
          <w:numId w:val="39"/>
        </w:numPr>
        <w:spacing w:after="240"/>
      </w:pPr>
      <w:r>
        <w:t>Round-trip efficiency (how much energy the device puts out relative to what it took in): 86 percent, declining by 0.5 percentage points per year;</w:t>
      </w:r>
    </w:p>
    <w:p w14:paraId="3A2B24FE" w14:textId="77777777" w:rsidR="005D62C5" w:rsidRDefault="005D62C5" w:rsidP="005D62C5">
      <w:pPr>
        <w:pStyle w:val="ListParagraph"/>
        <w:numPr>
          <w:ilvl w:val="0"/>
          <w:numId w:val="39"/>
        </w:numPr>
        <w:spacing w:after="240"/>
      </w:pPr>
      <w:r>
        <w:t xml:space="preserve">Depth of discharge (the </w:t>
      </w:r>
      <w:r w:rsidR="006C3533">
        <w:t>most amount of charge that can be used each cycle to maximize the battery’s useful life):</w:t>
      </w:r>
      <w:r>
        <w:t xml:space="preserve"> 80 percent</w:t>
      </w:r>
    </w:p>
    <w:p w14:paraId="2437011D" w14:textId="77777777" w:rsidR="005D62C5" w:rsidRDefault="005D62C5" w:rsidP="005D62C5">
      <w:pPr>
        <w:pStyle w:val="ListParagraph"/>
        <w:numPr>
          <w:ilvl w:val="0"/>
          <w:numId w:val="39"/>
        </w:numPr>
        <w:spacing w:after="240"/>
      </w:pPr>
      <w:r>
        <w:t xml:space="preserve">Cycle life (how many </w:t>
      </w:r>
      <w:r w:rsidR="006C3533">
        <w:t>times the battery can charge and discharge):</w:t>
      </w:r>
      <w:r>
        <w:t xml:space="preserve"> 3,500</w:t>
      </w:r>
    </w:p>
    <w:p w14:paraId="6D326B08" w14:textId="77777777" w:rsidR="005D62C5" w:rsidRDefault="005D62C5" w:rsidP="005D62C5">
      <w:pPr>
        <w:pStyle w:val="ListParagraph"/>
        <w:numPr>
          <w:ilvl w:val="0"/>
          <w:numId w:val="39"/>
        </w:numPr>
        <w:spacing w:after="240"/>
      </w:pPr>
      <w:r>
        <w:t xml:space="preserve">Energy to power ratio: 4 to 1 (i.e., </w:t>
      </w:r>
      <w:r w:rsidR="00351EB0">
        <w:t>a four-hour battery</w:t>
      </w:r>
      <w:r w:rsidR="006C3533">
        <w:t>)</w:t>
      </w:r>
    </w:p>
    <w:p w14:paraId="42410645" w14:textId="77777777" w:rsidR="00351EB0" w:rsidRDefault="00351EB0" w:rsidP="00351EB0">
      <w:pPr>
        <w:spacing w:after="240"/>
      </w:pPr>
      <w:r>
        <w:t>Table 1 summarizes the key cost assumptions for the PV and storage components, broken down by upfront capital cost and annual operations and maintenance (O&amp;M) expenses:</w:t>
      </w:r>
    </w:p>
    <w:p w14:paraId="539A625A" w14:textId="77777777" w:rsidR="006C3533" w:rsidRDefault="006C3533" w:rsidP="00351EB0">
      <w:pPr>
        <w:spacing w:after="240"/>
      </w:pPr>
    </w:p>
    <w:p w14:paraId="64BBF601" w14:textId="77777777" w:rsidR="006C3533" w:rsidRDefault="006C3533" w:rsidP="00351EB0">
      <w:pPr>
        <w:spacing w:after="240"/>
      </w:pPr>
    </w:p>
    <w:p w14:paraId="19D96001" w14:textId="77777777" w:rsidR="006C3533" w:rsidRDefault="006C3533" w:rsidP="00351EB0">
      <w:pPr>
        <w:spacing w:after="240"/>
      </w:pPr>
    </w:p>
    <w:tbl>
      <w:tblPr>
        <w:tblStyle w:val="TableGrid"/>
        <w:tblW w:w="0" w:type="auto"/>
        <w:tblLook w:val="04A0" w:firstRow="1" w:lastRow="0" w:firstColumn="1" w:lastColumn="0" w:noHBand="0" w:noVBand="1"/>
      </w:tblPr>
      <w:tblGrid>
        <w:gridCol w:w="1327"/>
        <w:gridCol w:w="1998"/>
        <w:gridCol w:w="1800"/>
        <w:gridCol w:w="1890"/>
        <w:gridCol w:w="2335"/>
      </w:tblGrid>
      <w:tr w:rsidR="00351EB0" w14:paraId="398D7F08" w14:textId="77777777" w:rsidTr="00CC6C6F">
        <w:tc>
          <w:tcPr>
            <w:tcW w:w="1327" w:type="dxa"/>
            <w:vAlign w:val="center"/>
          </w:tcPr>
          <w:p w14:paraId="4344BF75" w14:textId="77777777" w:rsidR="00351EB0" w:rsidRPr="00CC6C6F" w:rsidRDefault="00351EB0" w:rsidP="00CC6C6F">
            <w:pPr>
              <w:spacing w:before="120" w:after="120"/>
              <w:jc w:val="center"/>
              <w:rPr>
                <w:b/>
                <w:bCs/>
              </w:rPr>
            </w:pPr>
            <w:r w:rsidRPr="00CC6C6F">
              <w:rPr>
                <w:b/>
                <w:bCs/>
              </w:rPr>
              <w:lastRenderedPageBreak/>
              <w:t>Component</w:t>
            </w:r>
          </w:p>
        </w:tc>
        <w:tc>
          <w:tcPr>
            <w:tcW w:w="1998" w:type="dxa"/>
            <w:vAlign w:val="center"/>
          </w:tcPr>
          <w:p w14:paraId="3F71D514" w14:textId="77777777" w:rsidR="00351EB0" w:rsidRPr="00CC6C6F" w:rsidRDefault="00351EB0" w:rsidP="00CC6C6F">
            <w:pPr>
              <w:spacing w:before="120" w:after="120"/>
              <w:jc w:val="center"/>
              <w:rPr>
                <w:b/>
                <w:bCs/>
              </w:rPr>
            </w:pPr>
            <w:r w:rsidRPr="00CC6C6F">
              <w:rPr>
                <w:b/>
                <w:bCs/>
              </w:rPr>
              <w:t>Capital Cost</w:t>
            </w:r>
          </w:p>
        </w:tc>
        <w:tc>
          <w:tcPr>
            <w:tcW w:w="1800" w:type="dxa"/>
            <w:vAlign w:val="center"/>
          </w:tcPr>
          <w:p w14:paraId="0D08377C" w14:textId="77777777" w:rsidR="00351EB0" w:rsidRPr="00CC6C6F" w:rsidRDefault="00351EB0" w:rsidP="00CC6C6F">
            <w:pPr>
              <w:spacing w:before="120" w:after="120"/>
              <w:jc w:val="center"/>
              <w:rPr>
                <w:b/>
                <w:bCs/>
              </w:rPr>
            </w:pPr>
            <w:r w:rsidRPr="00CC6C6F">
              <w:rPr>
                <w:b/>
                <w:bCs/>
              </w:rPr>
              <w:t>Annual Fixed O&amp;M</w:t>
            </w:r>
          </w:p>
        </w:tc>
        <w:tc>
          <w:tcPr>
            <w:tcW w:w="1890" w:type="dxa"/>
            <w:vAlign w:val="center"/>
          </w:tcPr>
          <w:p w14:paraId="0F455403" w14:textId="77777777" w:rsidR="00351EB0" w:rsidRPr="00CC6C6F" w:rsidRDefault="00351EB0" w:rsidP="00CC6C6F">
            <w:pPr>
              <w:spacing w:before="120" w:after="120"/>
              <w:jc w:val="center"/>
              <w:rPr>
                <w:b/>
                <w:bCs/>
              </w:rPr>
            </w:pPr>
            <w:r w:rsidRPr="00CC6C6F">
              <w:rPr>
                <w:b/>
                <w:bCs/>
              </w:rPr>
              <w:t>Annual Variable O&amp;M</w:t>
            </w:r>
          </w:p>
        </w:tc>
        <w:tc>
          <w:tcPr>
            <w:tcW w:w="2335" w:type="dxa"/>
            <w:vAlign w:val="center"/>
          </w:tcPr>
          <w:p w14:paraId="71B4A0E6" w14:textId="77777777" w:rsidR="00351EB0" w:rsidRPr="00CC6C6F" w:rsidRDefault="00CC6C6F" w:rsidP="00CC6C6F">
            <w:pPr>
              <w:spacing w:before="120" w:after="120"/>
              <w:jc w:val="center"/>
              <w:rPr>
                <w:b/>
                <w:bCs/>
              </w:rPr>
            </w:pPr>
            <w:r w:rsidRPr="00CC6C6F">
              <w:rPr>
                <w:b/>
                <w:bCs/>
              </w:rPr>
              <w:t>Data Source</w:t>
            </w:r>
          </w:p>
        </w:tc>
      </w:tr>
      <w:tr w:rsidR="00351EB0" w14:paraId="53AE53E3" w14:textId="77777777" w:rsidTr="00CC6C6F">
        <w:tc>
          <w:tcPr>
            <w:tcW w:w="1327" w:type="dxa"/>
            <w:vAlign w:val="center"/>
          </w:tcPr>
          <w:p w14:paraId="044F29E8" w14:textId="77777777" w:rsidR="00351EB0" w:rsidRDefault="00351EB0" w:rsidP="00CC6C6F">
            <w:pPr>
              <w:spacing w:before="120" w:after="120"/>
              <w:jc w:val="center"/>
            </w:pPr>
            <w:r>
              <w:t>PV</w:t>
            </w:r>
          </w:p>
        </w:tc>
        <w:tc>
          <w:tcPr>
            <w:tcW w:w="1998" w:type="dxa"/>
            <w:vAlign w:val="center"/>
          </w:tcPr>
          <w:p w14:paraId="6C074E25" w14:textId="77777777" w:rsidR="00351EB0" w:rsidRDefault="00351EB0" w:rsidP="00CC6C6F">
            <w:pPr>
              <w:spacing w:before="120" w:after="120"/>
              <w:jc w:val="center"/>
            </w:pPr>
            <w:r>
              <w:t>$1130/kW DC</w:t>
            </w:r>
          </w:p>
        </w:tc>
        <w:tc>
          <w:tcPr>
            <w:tcW w:w="1800" w:type="dxa"/>
            <w:vAlign w:val="center"/>
          </w:tcPr>
          <w:p w14:paraId="6F4DC95D" w14:textId="77777777" w:rsidR="00351EB0" w:rsidRDefault="00351EB0" w:rsidP="00CC6C6F">
            <w:pPr>
              <w:spacing w:before="120" w:after="120"/>
              <w:jc w:val="center"/>
            </w:pPr>
            <w:r>
              <w:t>$10.40/kW-</w:t>
            </w:r>
            <w:proofErr w:type="spellStart"/>
            <w:r>
              <w:t>yr</w:t>
            </w:r>
            <w:proofErr w:type="spellEnd"/>
          </w:p>
        </w:tc>
        <w:tc>
          <w:tcPr>
            <w:tcW w:w="1890" w:type="dxa"/>
            <w:vAlign w:val="center"/>
          </w:tcPr>
          <w:p w14:paraId="1632F298" w14:textId="77777777" w:rsidR="00351EB0" w:rsidRDefault="00351EB0" w:rsidP="00CC6C6F">
            <w:pPr>
              <w:spacing w:before="120" w:after="120"/>
              <w:jc w:val="center"/>
            </w:pPr>
            <w:r>
              <w:t>--</w:t>
            </w:r>
          </w:p>
        </w:tc>
        <w:tc>
          <w:tcPr>
            <w:tcW w:w="2335" w:type="dxa"/>
            <w:vAlign w:val="center"/>
          </w:tcPr>
          <w:p w14:paraId="3B9163CC" w14:textId="77777777" w:rsidR="00351EB0" w:rsidRDefault="00CC6C6F" w:rsidP="00CC6C6F">
            <w:pPr>
              <w:spacing w:before="120" w:after="120"/>
              <w:jc w:val="center"/>
            </w:pPr>
            <w:r>
              <w:t>“U.S. Solar Photovoltaic System Cost Benchmark: Q1 2018”</w:t>
            </w:r>
            <w:r>
              <w:rPr>
                <w:rStyle w:val="FootnoteReference"/>
              </w:rPr>
              <w:footnoteReference w:id="5"/>
            </w:r>
          </w:p>
        </w:tc>
      </w:tr>
      <w:tr w:rsidR="00351EB0" w14:paraId="713442ED" w14:textId="77777777" w:rsidTr="00CC6C6F">
        <w:tc>
          <w:tcPr>
            <w:tcW w:w="1327" w:type="dxa"/>
            <w:vAlign w:val="center"/>
          </w:tcPr>
          <w:p w14:paraId="61D50FF1" w14:textId="77777777" w:rsidR="00351EB0" w:rsidRDefault="00351EB0" w:rsidP="00CC6C6F">
            <w:pPr>
              <w:spacing w:before="120" w:after="120"/>
              <w:jc w:val="center"/>
            </w:pPr>
            <w:r>
              <w:t>Storage</w:t>
            </w:r>
          </w:p>
        </w:tc>
        <w:tc>
          <w:tcPr>
            <w:tcW w:w="1998" w:type="dxa"/>
            <w:vAlign w:val="center"/>
          </w:tcPr>
          <w:p w14:paraId="45D180A5" w14:textId="77777777" w:rsidR="00351EB0" w:rsidRDefault="00351EB0" w:rsidP="00CC6C6F">
            <w:pPr>
              <w:spacing w:before="120" w:after="120"/>
              <w:jc w:val="center"/>
            </w:pPr>
            <w:r>
              <w:t>$1446</w:t>
            </w:r>
            <w:r w:rsidR="00CC6C6F">
              <w:t>/</w:t>
            </w:r>
            <w:r>
              <w:t>kW</w:t>
            </w:r>
          </w:p>
        </w:tc>
        <w:tc>
          <w:tcPr>
            <w:tcW w:w="1800" w:type="dxa"/>
            <w:vAlign w:val="center"/>
          </w:tcPr>
          <w:p w14:paraId="11410998" w14:textId="77777777" w:rsidR="00351EB0" w:rsidRDefault="00351EB0" w:rsidP="00CC6C6F">
            <w:pPr>
              <w:spacing w:before="120" w:after="120"/>
              <w:jc w:val="center"/>
            </w:pPr>
            <w:r>
              <w:t>$</w:t>
            </w:r>
            <w:r w:rsidR="00CC6C6F">
              <w:t>9/kW-</w:t>
            </w:r>
            <w:proofErr w:type="spellStart"/>
            <w:r w:rsidR="00CC6C6F">
              <w:t>yr</w:t>
            </w:r>
            <w:proofErr w:type="spellEnd"/>
          </w:p>
        </w:tc>
        <w:tc>
          <w:tcPr>
            <w:tcW w:w="1890" w:type="dxa"/>
            <w:vAlign w:val="center"/>
          </w:tcPr>
          <w:p w14:paraId="0719C2EC" w14:textId="77777777" w:rsidR="00351EB0" w:rsidRDefault="00CC6C6F" w:rsidP="00CC6C6F">
            <w:pPr>
              <w:spacing w:before="120" w:after="120"/>
              <w:jc w:val="center"/>
            </w:pPr>
            <w:r>
              <w:t>$0.0003/kWh</w:t>
            </w:r>
          </w:p>
        </w:tc>
        <w:tc>
          <w:tcPr>
            <w:tcW w:w="2335" w:type="dxa"/>
            <w:vAlign w:val="center"/>
          </w:tcPr>
          <w:p w14:paraId="02577BC7" w14:textId="77777777" w:rsidR="00351EB0" w:rsidRDefault="00CC6C6F" w:rsidP="00CC6C6F">
            <w:pPr>
              <w:spacing w:before="120" w:after="120"/>
              <w:jc w:val="center"/>
            </w:pPr>
            <w:r>
              <w:t>“Energy Storage Technology and Cost Characterization Report”</w:t>
            </w:r>
          </w:p>
        </w:tc>
      </w:tr>
    </w:tbl>
    <w:p w14:paraId="7CF882CB" w14:textId="77777777" w:rsidR="00351EB0" w:rsidRDefault="00CC6C6F" w:rsidP="00CC6C6F">
      <w:pPr>
        <w:pStyle w:val="Caption-Tab"/>
        <w:spacing w:before="120" w:after="240"/>
        <w:ind w:left="994" w:hanging="994"/>
        <w:rPr>
          <w:b/>
          <w:bCs/>
        </w:rPr>
      </w:pPr>
      <w:r w:rsidRPr="00CC6C6F">
        <w:rPr>
          <w:b/>
          <w:bCs/>
        </w:rPr>
        <w:t>Table 1: Key Cost Assumptions for PV and Storage Components</w:t>
      </w:r>
    </w:p>
    <w:p w14:paraId="64BEB0E3" w14:textId="641FB308" w:rsidR="00D1184F" w:rsidRDefault="00D1184F" w:rsidP="00D1184F">
      <w:r>
        <w:t xml:space="preserve">With a cycle life of 3,500 cycles, a lithium-ion battery that is </w:t>
      </w:r>
      <w:r w:rsidR="006C3533">
        <w:t>dispatched</w:t>
      </w:r>
      <w:r>
        <w:t xml:space="preserve"> on a daily basis would have a useful life of about 10 years. Therefore, any analysis</w:t>
      </w:r>
      <w:r w:rsidR="006C3533">
        <w:t xml:space="preserve"> scenario</w:t>
      </w:r>
      <w:r>
        <w:t xml:space="preserve"> that included a horizon of more than 10 years assumed a “capacity repurchase” of the battery after 10 year</w:t>
      </w:r>
      <w:r w:rsidR="006C3533">
        <w:t>s</w:t>
      </w:r>
      <w:r>
        <w:t xml:space="preserve">, by which the original cells would be replaced with new ones. The assumed cost of this </w:t>
      </w:r>
      <w:r w:rsidR="00985E49">
        <w:t xml:space="preserve">battery capacity </w:t>
      </w:r>
      <w:r>
        <w:t xml:space="preserve">repurchase was 25 percent of the </w:t>
      </w:r>
      <w:r w:rsidR="00985E49">
        <w:t xml:space="preserve">total energy storage system’s </w:t>
      </w:r>
      <w:proofErr w:type="gramStart"/>
      <w:r>
        <w:t>initial  cost</w:t>
      </w:r>
      <w:proofErr w:type="gramEnd"/>
      <w:r>
        <w:t xml:space="preserve">. </w:t>
      </w:r>
    </w:p>
    <w:p w14:paraId="0294DA26" w14:textId="77777777" w:rsidR="004D5804" w:rsidRDefault="004D5804" w:rsidP="004D5804">
      <w:pPr>
        <w:spacing w:before="240"/>
      </w:pPr>
      <w:r>
        <w:t xml:space="preserve">All analyses assumed a constant discount rate of 6 percent for all future project costs and revenues, which is roughly in line with recent historical </w:t>
      </w:r>
      <w:r w:rsidR="009A2E87">
        <w:t xml:space="preserve">commercial lending rates. For initial capital costs, the analysis assumed overnight capital, meaning that project financing considerations were not included. </w:t>
      </w:r>
    </w:p>
    <w:p w14:paraId="23818394" w14:textId="77777777" w:rsidR="009A2E87" w:rsidRDefault="009A2E87" w:rsidP="009A2E87">
      <w:pPr>
        <w:pStyle w:val="Heading2"/>
      </w:pPr>
      <w:r>
        <w:t>Analytical Details</w:t>
      </w:r>
    </w:p>
    <w:p w14:paraId="3AA178D8" w14:textId="77777777" w:rsidR="009A2E87" w:rsidRDefault="009A2E87" w:rsidP="004D5804">
      <w:pPr>
        <w:spacing w:before="240"/>
      </w:pPr>
      <w:r>
        <w:t xml:space="preserve">Because energy storage must be charged by a PURPA-eligible source of generation, initial analyses </w:t>
      </w:r>
      <w:r w:rsidR="008639BE">
        <w:t>approached the question from a hybrid perspective by attempting to identify a project with</w:t>
      </w:r>
      <w:r>
        <w:t xml:space="preserve"> </w:t>
      </w:r>
      <w:r w:rsidR="008639BE">
        <w:t xml:space="preserve">optimally configured PV and storage components </w:t>
      </w:r>
      <w:r>
        <w:t>that would potentially be cost effective under the provided avoided cost schedule for solar resources.</w:t>
      </w:r>
    </w:p>
    <w:p w14:paraId="5FA5CA29" w14:textId="77777777" w:rsidR="009A2E87" w:rsidRDefault="003278AD" w:rsidP="004D5804">
      <w:pPr>
        <w:spacing w:before="240"/>
      </w:pPr>
      <w:r>
        <w:t xml:space="preserve">This approach consisted of downloading hourly generation data for </w:t>
      </w:r>
      <w:r w:rsidR="006C3533">
        <w:t xml:space="preserve">hypothetical </w:t>
      </w:r>
      <w:r>
        <w:t xml:space="preserve">projects of various sizes from </w:t>
      </w:r>
      <w:proofErr w:type="spellStart"/>
      <w:r>
        <w:t>PVWatts</w:t>
      </w:r>
      <w:proofErr w:type="spellEnd"/>
      <w:r w:rsidR="00C65307">
        <w:t>, identifying daily generation cycles, and then identifying the size of a storage component that could cost-effectively capture as much of that generation as possible. But the flaw in this approach quickly became evident; absent some incremental value to be achieved by capturing and shifting generation, the storage component would only cause the project to lose money.</w:t>
      </w:r>
    </w:p>
    <w:p w14:paraId="764982F9" w14:textId="77777777" w:rsidR="00C21D8D" w:rsidRDefault="00C65307" w:rsidP="004D5804">
      <w:pPr>
        <w:spacing w:before="240"/>
      </w:pPr>
      <w:r>
        <w:t xml:space="preserve">As previously noted, a new lithium-ion battery has a round-trip efficiency (RTE) of 86 percent. This means that for every megawatt-hour (MWh) of energy that the battery takes in, it only returns 0.86 MWh. These losses occur in the process of converting electricity from the grid’s alternating current to the battery’s direct current and then back again. They are also driven by the energy needed to maintain the battery’s operational systems and </w:t>
      </w:r>
      <w:r w:rsidR="00C21D8D">
        <w:t>temperature</w:t>
      </w:r>
      <w:r>
        <w:t xml:space="preserve"> controls. </w:t>
      </w:r>
    </w:p>
    <w:p w14:paraId="7D3282DD" w14:textId="77777777" w:rsidR="00C21D8D" w:rsidRDefault="00C21D8D" w:rsidP="004D5804">
      <w:pPr>
        <w:spacing w:before="240"/>
      </w:pPr>
      <w:r>
        <w:t xml:space="preserve">So, from a developer’s perspective, it would only make sense to put energy into the battery if the value of energy when the battery is discharged will be at least 14 percent higher than the </w:t>
      </w:r>
      <w:r>
        <w:lastRenderedPageBreak/>
        <w:t>value of the energy that charged the battery. If not, the developer is better off not using the battery. Idaho Power’s avoided cost schedule used in this analysis compensates all generation occurring during heavy load hours equally, and does not penalize a resource for having variable output. Under that structure, there is no value in shifting energy to a different time, and so using the battery effectively constitutes a 14 percent tax on all the energy that goes through it – and that tax will rise by 0.5 percentage points each year as the battery’s RTE declines. Table 2 illustrates this point by comparing the revenue that a 20-MW, single-axis tracking PV facility would achieve under the current avoided cost schedule as a standalone facility and as a hybrid facility, in which all of its generation is passed through a battery:</w:t>
      </w:r>
    </w:p>
    <w:p w14:paraId="15D35498" w14:textId="77777777" w:rsidR="00C21D8D" w:rsidRDefault="00C21D8D" w:rsidP="004D5804">
      <w:pPr>
        <w:spacing w:before="240"/>
      </w:pPr>
    </w:p>
    <w:tbl>
      <w:tblPr>
        <w:tblStyle w:val="TableGrid"/>
        <w:tblW w:w="9350" w:type="dxa"/>
        <w:tblLook w:val="04A0" w:firstRow="1" w:lastRow="0" w:firstColumn="1" w:lastColumn="0" w:noHBand="0" w:noVBand="1"/>
      </w:tblPr>
      <w:tblGrid>
        <w:gridCol w:w="3291"/>
        <w:gridCol w:w="3121"/>
        <w:gridCol w:w="2938"/>
      </w:tblGrid>
      <w:tr w:rsidR="00E74B92" w14:paraId="1111AD94" w14:textId="77777777" w:rsidTr="00E74B92">
        <w:tc>
          <w:tcPr>
            <w:tcW w:w="9350" w:type="dxa"/>
            <w:gridSpan w:val="3"/>
            <w:vAlign w:val="center"/>
          </w:tcPr>
          <w:p w14:paraId="67610BE1" w14:textId="77777777" w:rsidR="00E74B92" w:rsidRPr="00E74B92" w:rsidRDefault="00E74B92" w:rsidP="00E74B92">
            <w:pPr>
              <w:spacing w:before="120" w:after="120"/>
              <w:jc w:val="center"/>
              <w:rPr>
                <w:b/>
                <w:bCs/>
              </w:rPr>
            </w:pPr>
            <w:r w:rsidRPr="00E74B92">
              <w:rPr>
                <w:b/>
                <w:bCs/>
              </w:rPr>
              <w:t>Total Revenue for a 20-MW PV Facility Under Current Avoided Cost Schedule, 2021-2040</w:t>
            </w:r>
          </w:p>
        </w:tc>
      </w:tr>
      <w:tr w:rsidR="00E74B92" w14:paraId="627C7753" w14:textId="77777777" w:rsidTr="00E74B92">
        <w:tc>
          <w:tcPr>
            <w:tcW w:w="3291" w:type="dxa"/>
            <w:vAlign w:val="center"/>
          </w:tcPr>
          <w:p w14:paraId="6E3CBD63" w14:textId="77777777" w:rsidR="00E74B92" w:rsidRDefault="00E74B92" w:rsidP="00E74B92">
            <w:pPr>
              <w:spacing w:before="120" w:after="120"/>
              <w:jc w:val="center"/>
            </w:pPr>
            <w:r>
              <w:t>Standalone</w:t>
            </w:r>
          </w:p>
        </w:tc>
        <w:tc>
          <w:tcPr>
            <w:tcW w:w="3121" w:type="dxa"/>
            <w:vAlign w:val="center"/>
          </w:tcPr>
          <w:p w14:paraId="2B3A68C4" w14:textId="77777777" w:rsidR="00E74B92" w:rsidRDefault="00E74B92" w:rsidP="00E74B92">
            <w:pPr>
              <w:spacing w:before="120" w:after="120"/>
              <w:jc w:val="center"/>
            </w:pPr>
            <w:r>
              <w:t>With Battery</w:t>
            </w:r>
          </w:p>
        </w:tc>
        <w:tc>
          <w:tcPr>
            <w:tcW w:w="2938" w:type="dxa"/>
            <w:vAlign w:val="center"/>
          </w:tcPr>
          <w:p w14:paraId="7AD1ECF5" w14:textId="77777777" w:rsidR="00E74B92" w:rsidRDefault="00E74B92" w:rsidP="00E74B92">
            <w:pPr>
              <w:spacing w:before="120" w:after="120"/>
              <w:jc w:val="center"/>
            </w:pPr>
            <w:r>
              <w:t>Reduction</w:t>
            </w:r>
          </w:p>
        </w:tc>
      </w:tr>
      <w:tr w:rsidR="00E74B92" w14:paraId="068F95AC" w14:textId="77777777" w:rsidTr="00E74B92">
        <w:tc>
          <w:tcPr>
            <w:tcW w:w="3291" w:type="dxa"/>
            <w:vAlign w:val="center"/>
          </w:tcPr>
          <w:p w14:paraId="5BFAA2F6" w14:textId="77777777" w:rsidR="00E74B92" w:rsidRDefault="00E74B92" w:rsidP="00E74B92">
            <w:pPr>
              <w:spacing w:before="120" w:after="120"/>
              <w:jc w:val="center"/>
            </w:pPr>
            <w:r>
              <w:t>$39.6 Million</w:t>
            </w:r>
          </w:p>
        </w:tc>
        <w:tc>
          <w:tcPr>
            <w:tcW w:w="3121" w:type="dxa"/>
            <w:vAlign w:val="center"/>
          </w:tcPr>
          <w:p w14:paraId="394AA237" w14:textId="77777777" w:rsidR="00E74B92" w:rsidRDefault="00E74B92" w:rsidP="00E74B92">
            <w:pPr>
              <w:spacing w:before="120" w:after="120"/>
              <w:jc w:val="center"/>
            </w:pPr>
            <w:r>
              <w:t>$33.1 million</w:t>
            </w:r>
          </w:p>
        </w:tc>
        <w:tc>
          <w:tcPr>
            <w:tcW w:w="2938" w:type="dxa"/>
            <w:vAlign w:val="center"/>
          </w:tcPr>
          <w:p w14:paraId="7F3DF291" w14:textId="77777777" w:rsidR="00E74B92" w:rsidRDefault="00E74B92" w:rsidP="00E74B92">
            <w:pPr>
              <w:spacing w:before="120" w:after="120"/>
              <w:jc w:val="center"/>
            </w:pPr>
            <w:r>
              <w:t>16.3 percent</w:t>
            </w:r>
          </w:p>
        </w:tc>
      </w:tr>
    </w:tbl>
    <w:p w14:paraId="4D6D97AA" w14:textId="77777777" w:rsidR="00C21D8D" w:rsidRPr="00E74B92" w:rsidRDefault="00E74B92" w:rsidP="00E74B92">
      <w:pPr>
        <w:pStyle w:val="Caption-Tab"/>
        <w:rPr>
          <w:b/>
          <w:bCs/>
        </w:rPr>
      </w:pPr>
      <w:r w:rsidRPr="00E74B92">
        <w:rPr>
          <w:b/>
          <w:bCs/>
        </w:rPr>
        <w:t xml:space="preserve">Table 2: Revenue for a 20-MW PV Facility Under Current Avoided Costs, With and Without Battery Storage </w:t>
      </w:r>
    </w:p>
    <w:p w14:paraId="006026BC" w14:textId="77777777" w:rsidR="00C65307" w:rsidRDefault="00E74B92" w:rsidP="00E74B92">
      <w:pPr>
        <w:pStyle w:val="BodyText"/>
      </w:pPr>
      <w:r w:rsidRPr="00E74B92">
        <w:t xml:space="preserve">Table 2 is admittedly an extreme case; even under favorable rate design, it is unlikely that all of a generator’s </w:t>
      </w:r>
      <w:r>
        <w:t>output would be routed through a battery. But it illustrates the powerful disincentive that the current avoided cost schedule creates for energy storage</w:t>
      </w:r>
      <w:r w:rsidR="006C3533">
        <w:t>.</w:t>
      </w:r>
      <w:r w:rsidR="00127B9C">
        <w:t xml:space="preserve"> </w:t>
      </w:r>
    </w:p>
    <w:p w14:paraId="03BAA2D6" w14:textId="77777777" w:rsidR="00127B9C" w:rsidRDefault="00127B9C" w:rsidP="00E74B92">
      <w:pPr>
        <w:pStyle w:val="BodyText"/>
      </w:pPr>
      <w:r>
        <w:t xml:space="preserve">Once this issue was identified, PNNL pivoted its approach to instead focus on a standalone energy storage device. The objective of this approach was to determine whether a storage asset could be cost-effective assuming no-cost charging, and if so, how much revenue would be generated to acquire assets to charge the device, either by developing them with the storage project or contracting for charging energy from a PURPA-eligible resource. This approach was also unsuccessful, as it determined that the benefit/cost ratio for a standalone storage device would be 0.25 over 10 years and 0.43 over 20 years – </w:t>
      </w:r>
      <w:r>
        <w:rPr>
          <w:i/>
          <w:iCs/>
        </w:rPr>
        <w:t>before</w:t>
      </w:r>
      <w:r>
        <w:t xml:space="preserve"> any charging expenses are included. </w:t>
      </w:r>
      <w:r w:rsidR="00BB6630">
        <w:t xml:space="preserve">Because the costs and output of a battery are all linear, those ratios are constant across all battery sizes (assuming a constant energy to power ratio of 4:1). </w:t>
      </w:r>
    </w:p>
    <w:p w14:paraId="2A05A97C" w14:textId="7F6AE0D6" w:rsidR="00151CF2" w:rsidRDefault="00BB6630" w:rsidP="00E74B92">
      <w:pPr>
        <w:pStyle w:val="BodyText"/>
      </w:pPr>
      <w:r>
        <w:t xml:space="preserve">Finally, PNNL approached the </w:t>
      </w:r>
      <w:r w:rsidR="00CD4F29">
        <w:t>issue</w:t>
      </w:r>
      <w:r>
        <w:t xml:space="preserve"> through </w:t>
      </w:r>
      <w:r w:rsidR="00CD4F29">
        <w:t>the lens</w:t>
      </w:r>
      <w:r>
        <w:t xml:space="preserve"> </w:t>
      </w:r>
      <w:r w:rsidR="00CD4F29">
        <w:t xml:space="preserve">of a </w:t>
      </w:r>
      <w:r>
        <w:t xml:space="preserve">standalone PV facility. </w:t>
      </w:r>
      <w:r w:rsidR="00CD4F29">
        <w:t xml:space="preserve">The question was </w:t>
      </w:r>
      <w:r w:rsidR="0073114A">
        <w:t xml:space="preserve">the inverse of the previous approach; could a PV facility generate enough revenue to add a storage component? While the short answer was no, the results of the analysis suggest that, under more </w:t>
      </w:r>
      <w:r w:rsidR="00622C77">
        <w:t>detailed</w:t>
      </w:r>
      <w:r w:rsidR="0073114A">
        <w:t xml:space="preserve"> avoided cost structures, it may be possible. The economics of a single-axis tracking PV facility are generally more favorable under the current avoided cost structure, resulting in a benefit/cost ratio of .85 for a 20-MW facility and increasing to .88 for a facility of 80 MW</w:t>
      </w:r>
      <w:r w:rsidR="00E40B1B">
        <w:t>, which is the maximum size for a QF</w:t>
      </w:r>
      <w:r w:rsidR="0073114A">
        <w:t xml:space="preserve">. </w:t>
      </w:r>
      <w:r w:rsidR="00151CF2">
        <w:t>With enough of an incentive to shift production to more valuable periods, it is conceivable that storage could become a cost-effective QF</w:t>
      </w:r>
      <w:r w:rsidR="00E40B1B">
        <w:t xml:space="preserve"> when coupled with single-axis tracking PV</w:t>
      </w:r>
      <w:r w:rsidR="00151CF2">
        <w:t xml:space="preserve">. </w:t>
      </w:r>
    </w:p>
    <w:p w14:paraId="3643D5AC" w14:textId="77777777" w:rsidR="006C3533" w:rsidRDefault="006C3533" w:rsidP="00E74B92">
      <w:pPr>
        <w:pStyle w:val="BodyText"/>
      </w:pPr>
    </w:p>
    <w:p w14:paraId="6368F00D" w14:textId="77777777" w:rsidR="006C3533" w:rsidRDefault="006C3533" w:rsidP="00E74B92">
      <w:pPr>
        <w:pStyle w:val="BodyText"/>
      </w:pPr>
    </w:p>
    <w:p w14:paraId="4BCE0CAC" w14:textId="77777777" w:rsidR="00BB6630" w:rsidRPr="00127B9C" w:rsidRDefault="00151CF2" w:rsidP="00151CF2">
      <w:pPr>
        <w:pStyle w:val="Heading1"/>
      </w:pPr>
      <w:r>
        <w:lastRenderedPageBreak/>
        <w:t xml:space="preserve">Implications </w:t>
      </w:r>
    </w:p>
    <w:p w14:paraId="3AC8F62E" w14:textId="5F42B81D" w:rsidR="00BC30E4" w:rsidRDefault="00363289" w:rsidP="004D5804">
      <w:pPr>
        <w:spacing w:before="240"/>
      </w:pPr>
      <w:r>
        <w:t>Due to its RTE limitations, energy storage can be viewed as one of two things: a tax or an investment. In either case, some of the energy used to charge the device will be lost when it is discharged. Under the tax paradigm, there is no opportunity to recover the value of that energy, and it is lost as well. But under the investment paradigm, the value of that energy can be recovered – with interest</w:t>
      </w:r>
      <w:r w:rsidR="00602C53">
        <w:t xml:space="preserve"> – by providing more valuable grid services with the energy that remains.</w:t>
      </w:r>
      <w:r>
        <w:t xml:space="preserve"> </w:t>
      </w:r>
    </w:p>
    <w:p w14:paraId="4A99186E" w14:textId="56DF11ED" w:rsidR="003B38C0" w:rsidRDefault="003B38C0" w:rsidP="004D5804">
      <w:pPr>
        <w:spacing w:before="240"/>
      </w:pPr>
      <w:r>
        <w:t xml:space="preserve">Levelized avoided cost structures that set static prices for energy and capacity have historically been the vehicle by which utilities comply with their small power purchase obligations under PURPA. But as the changing resource mix causes grid needs to </w:t>
      </w:r>
      <w:r w:rsidR="004B0BED">
        <w:t>e</w:t>
      </w:r>
      <w:r>
        <w:t xml:space="preserve">volve, </w:t>
      </w:r>
      <w:r w:rsidR="00602C53">
        <w:t>this structure is</w:t>
      </w:r>
      <w:r>
        <w:t xml:space="preserve"> increasingly unable to induce and compensate desir</w:t>
      </w:r>
      <w:r w:rsidR="004B0BED">
        <w:t>able</w:t>
      </w:r>
      <w:r>
        <w:t xml:space="preserve"> behavior from interconnected resources.</w:t>
      </w:r>
    </w:p>
    <w:p w14:paraId="6E4B0601" w14:textId="05AB05D9" w:rsidR="002E2B7F" w:rsidRDefault="003B38C0" w:rsidP="004D5804">
      <w:pPr>
        <w:spacing w:before="240"/>
      </w:pPr>
      <w:r>
        <w:t xml:space="preserve">Idaho Power’s avoided cost schedules are a prime example of this. When capacity payments begin in 2026, </w:t>
      </w:r>
      <w:r w:rsidR="002E2B7F">
        <w:t xml:space="preserve">they are levelized throughout the year. Effectively, the payment structure states that a unit of capacity on a January morning has the same value as a unit of capacity </w:t>
      </w:r>
      <w:r w:rsidR="00602C53">
        <w:t>on</w:t>
      </w:r>
      <w:r w:rsidR="002E2B7F">
        <w:t xml:space="preserve"> an April night or a July afternoon. This is clearly not the case, as Idaho Power acknowledges in its 2019 Amended IRP when it points to its own peak demand happening in June or July and regional analyses suggesting that the highest loss of load probability</w:t>
      </w:r>
      <w:r w:rsidR="00602C53">
        <w:t xml:space="preserve"> for the Pacific Northwest as a whole</w:t>
      </w:r>
      <w:r w:rsidR="002E2B7F">
        <w:t xml:space="preserve"> occurs in winter mont</w:t>
      </w:r>
      <w:r w:rsidR="00B54CFC">
        <w:t>hs</w:t>
      </w:r>
      <w:r w:rsidR="002E2B7F">
        <w:t>.</w:t>
      </w:r>
      <w:r w:rsidR="004B0BED">
        <w:rPr>
          <w:rStyle w:val="FootnoteReference"/>
        </w:rPr>
        <w:footnoteReference w:id="6"/>
      </w:r>
      <w:r w:rsidR="00B54CFC">
        <w:t xml:space="preserve"> The value of capacity varies significantly throughout the year as </w:t>
      </w:r>
      <w:r w:rsidR="007102C6">
        <w:t xml:space="preserve">the </w:t>
      </w:r>
      <w:r w:rsidR="00B54CFC">
        <w:t xml:space="preserve">needs </w:t>
      </w:r>
      <w:r w:rsidR="007102C6">
        <w:t xml:space="preserve">of the grid </w:t>
      </w:r>
      <w:r w:rsidR="00B54CFC">
        <w:t xml:space="preserve">change, but when utilities pay for it on a levelized basis, they eliminate any incentive for </w:t>
      </w:r>
      <w:r w:rsidR="007102C6">
        <w:t xml:space="preserve">QFs </w:t>
      </w:r>
      <w:r w:rsidR="00B54CFC">
        <w:t xml:space="preserve">to </w:t>
      </w:r>
      <w:r w:rsidR="004B0BED">
        <w:t xml:space="preserve">help them </w:t>
      </w:r>
      <w:r w:rsidR="00B54CFC">
        <w:t>meet those needs.</w:t>
      </w:r>
      <w:r w:rsidR="002E2B7F">
        <w:t xml:space="preserve"> </w:t>
      </w:r>
    </w:p>
    <w:p w14:paraId="4F325098" w14:textId="77777777" w:rsidR="00BC30E4" w:rsidRDefault="00B54CFC" w:rsidP="004D5804">
      <w:pPr>
        <w:spacing w:before="240"/>
      </w:pPr>
      <w:r>
        <w:t xml:space="preserve">Idaho Power’s avoided capacity payments – when offered – also compensate </w:t>
      </w:r>
      <w:r w:rsidR="003B38C0">
        <w:t>solar resources at a rate that is three times greater than the rate paid to baseload resources. A kW of capacity during a time of need has the same value</w:t>
      </w:r>
      <w:r w:rsidR="00BC30E4">
        <w:t xml:space="preserve"> to the grid</w:t>
      </w:r>
      <w:r w:rsidR="003B38C0">
        <w:t xml:space="preserve"> regardless of its source, </w:t>
      </w:r>
      <w:r w:rsidR="00BC30E4">
        <w:t>but the current avoided cost structure does not treat them the same. In fact, the opposite could be argued – that a kW of capacity from a dispatchable/predictable resource may be more valuable than a kW of capacity from a non-dispatchable/variable resource. Under the legacy PURPA approach, which varies rates based on a resource’s characteristics, Idaho Power’s avoided cost schedule has created perverse incentives.</w:t>
      </w:r>
    </w:p>
    <w:p w14:paraId="584AB75A" w14:textId="26F4B436" w:rsidR="00B54CFC" w:rsidRDefault="004B0BED" w:rsidP="004D5804">
      <w:pPr>
        <w:spacing w:before="240"/>
      </w:pPr>
      <w:r>
        <w:t xml:space="preserve">Energy storage creates the mechanism by which utilities and regulators can move from a resource-centric approach to PURPA toward a grid-centric approach that creates resource-agnostic signals for QFs to shape their production according to grid needs. </w:t>
      </w:r>
      <w:r w:rsidR="00673B54">
        <w:t xml:space="preserve">By creating clear signals about when energy and capacity are most valuable on the grid, avoided cost schedules can </w:t>
      </w:r>
      <w:r w:rsidR="00602C53">
        <w:t>establish</w:t>
      </w:r>
      <w:r w:rsidR="00673B54">
        <w:t xml:space="preserve"> </w:t>
      </w:r>
      <w:r w:rsidR="00602C53">
        <w:t>an</w:t>
      </w:r>
      <w:r w:rsidR="00673B54">
        <w:t xml:space="preserve"> incentive for QFs to cost-effectively deploy storage in a manner that will benefit the grid and all of its customers. </w:t>
      </w:r>
    </w:p>
    <w:p w14:paraId="4568D342" w14:textId="4A739F6B" w:rsidR="00673B54" w:rsidRDefault="00673B54" w:rsidP="004D5804">
      <w:pPr>
        <w:spacing w:before="240"/>
      </w:pPr>
      <w:r>
        <w:t>An example of this type of rate structure is found in Duke Energy’s avoided cost tariffs in North Carolina. These cutting-edge tariffs increase avoided cost granularity in multiple dimensions:</w:t>
      </w:r>
    </w:p>
    <w:p w14:paraId="617D6377" w14:textId="133C2C97" w:rsidR="00673B54" w:rsidRDefault="00673B54" w:rsidP="00673B54">
      <w:pPr>
        <w:pStyle w:val="ListParagraph"/>
        <w:numPr>
          <w:ilvl w:val="0"/>
          <w:numId w:val="40"/>
        </w:numPr>
        <w:spacing w:before="240"/>
      </w:pPr>
      <w:r>
        <w:rPr>
          <w:b/>
          <w:bCs/>
        </w:rPr>
        <w:t>Volatility.</w:t>
      </w:r>
      <w:r>
        <w:t xml:space="preserve"> Resources are compensated based on how well they manage </w:t>
      </w:r>
      <w:r w:rsidR="000119FE">
        <w:t>the volatility of their production</w:t>
      </w:r>
      <w:r>
        <w:t xml:space="preserve"> across rolling 10-minute windows on a monthly basis. Resources that meet established thresholds are compensated at a high rate than those that don’t. </w:t>
      </w:r>
    </w:p>
    <w:p w14:paraId="225DB9ED" w14:textId="77777777" w:rsidR="00673B54" w:rsidRDefault="00673B54" w:rsidP="00673B54">
      <w:pPr>
        <w:pStyle w:val="ListParagraph"/>
        <w:numPr>
          <w:ilvl w:val="0"/>
          <w:numId w:val="40"/>
        </w:numPr>
        <w:spacing w:before="240"/>
      </w:pPr>
      <w:r>
        <w:rPr>
          <w:b/>
          <w:bCs/>
        </w:rPr>
        <w:t xml:space="preserve">Seasonality. </w:t>
      </w:r>
      <w:r w:rsidR="00314543">
        <w:t>Avoided costs</w:t>
      </w:r>
      <w:r>
        <w:t xml:space="preserve"> vary across three seasons (summer, winter, shoulder). </w:t>
      </w:r>
    </w:p>
    <w:p w14:paraId="00B28FF2" w14:textId="77777777" w:rsidR="00314543" w:rsidRDefault="00314543" w:rsidP="00673B54">
      <w:pPr>
        <w:pStyle w:val="ListParagraph"/>
        <w:numPr>
          <w:ilvl w:val="0"/>
          <w:numId w:val="40"/>
        </w:numPr>
        <w:spacing w:before="240"/>
      </w:pPr>
      <w:r>
        <w:rPr>
          <w:b/>
          <w:bCs/>
        </w:rPr>
        <w:lastRenderedPageBreak/>
        <w:t>Hourly.</w:t>
      </w:r>
      <w:r>
        <w:t xml:space="preserve"> Avoided costs vary by time of day, with three tiers during summer months, four tiers during winter months, and two tiers during shoulder months.</w:t>
      </w:r>
    </w:p>
    <w:p w14:paraId="5D48D808" w14:textId="1EBF2BC4" w:rsidR="00673B54" w:rsidRDefault="00314543" w:rsidP="00673B54">
      <w:pPr>
        <w:pStyle w:val="ListParagraph"/>
        <w:numPr>
          <w:ilvl w:val="0"/>
          <w:numId w:val="40"/>
        </w:numPr>
        <w:spacing w:before="240"/>
      </w:pPr>
      <w:r>
        <w:rPr>
          <w:b/>
          <w:bCs/>
        </w:rPr>
        <w:t>Point of interconnection.</w:t>
      </w:r>
      <w:r>
        <w:t xml:space="preserve"> Avoided costs vary by whether a resource is connected at distribution voltage or at transmission voltage</w:t>
      </w:r>
      <w:r w:rsidR="000119FE">
        <w:t>, recognizing its contributions to reducing line losses based on where it is connected</w:t>
      </w:r>
      <w:r>
        <w:t>.</w:t>
      </w:r>
    </w:p>
    <w:p w14:paraId="4E948FAF" w14:textId="53BD4D61" w:rsidR="00314543" w:rsidRDefault="00314543" w:rsidP="00673B54">
      <w:pPr>
        <w:pStyle w:val="ListParagraph"/>
        <w:numPr>
          <w:ilvl w:val="0"/>
          <w:numId w:val="40"/>
        </w:numPr>
        <w:spacing w:before="240"/>
      </w:pPr>
      <w:r>
        <w:rPr>
          <w:b/>
          <w:bCs/>
        </w:rPr>
        <w:t>Rate structure.</w:t>
      </w:r>
      <w:r>
        <w:t xml:space="preserve"> QFs can elect to receive an as</w:t>
      </w:r>
      <w:r w:rsidR="000119FE">
        <w:t>-</w:t>
      </w:r>
      <w:r>
        <w:t xml:space="preserve">available (real-time) rate or a long-term </w:t>
      </w:r>
      <w:r w:rsidR="000119FE">
        <w:t>(</w:t>
      </w:r>
      <w:r>
        <w:t>contracted</w:t>
      </w:r>
      <w:r w:rsidR="000119FE">
        <w:t>)</w:t>
      </w:r>
      <w:r>
        <w:t xml:space="preserve"> rate.</w:t>
      </w:r>
    </w:p>
    <w:p w14:paraId="34591DA4" w14:textId="77777777" w:rsidR="00314543" w:rsidRDefault="00314543" w:rsidP="00673B54">
      <w:pPr>
        <w:pStyle w:val="ListParagraph"/>
        <w:numPr>
          <w:ilvl w:val="0"/>
          <w:numId w:val="40"/>
        </w:numPr>
        <w:spacing w:before="240"/>
      </w:pPr>
      <w:r>
        <w:rPr>
          <w:b/>
          <w:bCs/>
        </w:rPr>
        <w:t>Resource type.</w:t>
      </w:r>
      <w:r>
        <w:t xml:space="preserve"> Methane digesters and hydropower facilities have separate rate structures based on their characteristics and state policies. </w:t>
      </w:r>
    </w:p>
    <w:p w14:paraId="59D2FA16" w14:textId="77777777" w:rsidR="007102C6" w:rsidRDefault="007102C6" w:rsidP="007102C6">
      <w:pPr>
        <w:spacing w:before="240"/>
      </w:pPr>
      <w:r>
        <w:t xml:space="preserve">The end result is that where Idaho Power has 48 different rates over the course of a year (heavy load/light load hours that vary by month for two different types of resource), Duke Energy has 108 different rates over the course of the year, which create clear and detailed signals for how QFs should be designed and operated to maximize their value to the grid. </w:t>
      </w:r>
    </w:p>
    <w:p w14:paraId="0DD11236" w14:textId="6F669E4C" w:rsidR="00E81634" w:rsidRDefault="007102C6" w:rsidP="007102C6">
      <w:pPr>
        <w:spacing w:before="240"/>
      </w:pPr>
      <w:r>
        <w:t xml:space="preserve">IPUC staff’s </w:t>
      </w:r>
      <w:r w:rsidR="000119FE">
        <w:t>objective of creating</w:t>
      </w:r>
      <w:r>
        <w:t xml:space="preserve"> </w:t>
      </w:r>
      <w:r w:rsidR="000119FE">
        <w:t xml:space="preserve">a </w:t>
      </w:r>
      <w:r>
        <w:t xml:space="preserve">viable model </w:t>
      </w:r>
      <w:r w:rsidR="000119FE">
        <w:t xml:space="preserve">for energy storage assets </w:t>
      </w:r>
      <w:r>
        <w:t xml:space="preserve">to participate in PURPA cannot be achieved under Idaho Power’s </w:t>
      </w:r>
      <w:r w:rsidR="00FF289F">
        <w:t>current avoided cost structure. This is not meant as a criticism of Idaho Power nor of the IPUC; as previously mentioned, this type of avoided cost structure has been standard practice</w:t>
      </w:r>
      <w:r w:rsidR="000119FE">
        <w:t xml:space="preserve"> in the electric industry</w:t>
      </w:r>
      <w:r w:rsidR="00FF289F">
        <w:t xml:space="preserve"> since PURPA was passed in 1978. But </w:t>
      </w:r>
      <w:r w:rsidR="008E5870">
        <w:t xml:space="preserve">the IPUC is </w:t>
      </w:r>
      <w:r w:rsidR="00FF289F">
        <w:t xml:space="preserve">working under </w:t>
      </w:r>
      <w:r w:rsidR="00E81634">
        <w:t>a legal requirement to develop avoided cost rates that account for the unique characteristics of energy storage, in a state that has been at times inundated with new PURPA projects</w:t>
      </w:r>
      <w:r w:rsidR="008E5870">
        <w:t>. As such, the</w:t>
      </w:r>
      <w:r w:rsidR="00E81634">
        <w:t xml:space="preserve"> IPUC is uniquely situated to play a leading role in designing avoided costs that </w:t>
      </w:r>
      <w:r w:rsidR="00622C77">
        <w:t>more directly link the compensation of QFs to the value that they provide to the grid and to customers</w:t>
      </w:r>
      <w:r w:rsidR="00E81634">
        <w:t>, with energy storage serving as the conduit to shape th</w:t>
      </w:r>
      <w:r w:rsidR="00622C77">
        <w:t xml:space="preserve">eir </w:t>
      </w:r>
      <w:r w:rsidR="00E81634">
        <w:t xml:space="preserve">generation and maximize its value. </w:t>
      </w:r>
    </w:p>
    <w:p w14:paraId="28B44A88" w14:textId="67087856" w:rsidR="00CC6C6F" w:rsidRPr="00CC6C6F" w:rsidRDefault="00E81634" w:rsidP="007102C6">
      <w:pPr>
        <w:spacing w:before="240"/>
      </w:pPr>
      <w:r>
        <w:t xml:space="preserve">PNNL appreciates the opportunity to contribute to this challenging and important work, as it provides a window into the challenges that other states will likely face in the near future and insight into how those challenges can be </w:t>
      </w:r>
      <w:r w:rsidR="000119FE">
        <w:t>resolved</w:t>
      </w:r>
      <w:r>
        <w:t xml:space="preserve">. The lab </w:t>
      </w:r>
      <w:r w:rsidR="00622C77">
        <w:t xml:space="preserve">looks forward to ongoing collaboration as staff continues to investigate these issues. </w:t>
      </w:r>
      <w:r>
        <w:t xml:space="preserve"> </w:t>
      </w:r>
      <w:r w:rsidR="007102C6">
        <w:t xml:space="preserve"> </w:t>
      </w:r>
    </w:p>
    <w:p w14:paraId="279BFDA1" w14:textId="77777777" w:rsidR="007A6C09" w:rsidRDefault="007A6C09" w:rsidP="0021605F">
      <w:pPr>
        <w:tabs>
          <w:tab w:val="clear" w:pos="360"/>
          <w:tab w:val="clear" w:pos="720"/>
          <w:tab w:val="clear" w:pos="1080"/>
        </w:tabs>
        <w:spacing w:before="240"/>
      </w:pPr>
      <w:r>
        <w:br w:type="page"/>
      </w:r>
    </w:p>
    <w:p w14:paraId="265DC223" w14:textId="77777777" w:rsidR="00F4735E" w:rsidRPr="007A6C09" w:rsidRDefault="00F4735E" w:rsidP="00F4735E">
      <w:pPr>
        <w:pStyle w:val="BodyText"/>
        <w:ind w:left="360"/>
        <w:sectPr w:rsidR="00F4735E" w:rsidRPr="007A6C09" w:rsidSect="00824DF5">
          <w:headerReference w:type="default" r:id="rId23"/>
          <w:footerReference w:type="default" r:id="rId24"/>
          <w:pgSz w:w="12240" w:h="15840" w:code="1"/>
          <w:pgMar w:top="1440" w:right="1440" w:bottom="1440" w:left="1440" w:header="720" w:footer="720" w:gutter="0"/>
          <w:pgNumType w:start="1" w:chapSep="period"/>
          <w:cols w:space="720"/>
        </w:sectPr>
      </w:pPr>
    </w:p>
    <w:sdt>
      <w:sdtPr>
        <w:rPr>
          <w:noProof/>
        </w:rPr>
        <w:id w:val="699826334"/>
        <w:docPartObj>
          <w:docPartGallery w:val="Cover Pages"/>
        </w:docPartObj>
      </w:sdtPr>
      <w:sdtEndPr>
        <w:rPr>
          <w:rFonts w:ascii="Arial" w:hAnsi="Arial" w:cs="Arial"/>
        </w:rPr>
      </w:sdtEndPr>
      <w:sdtContent>
        <w:p w14:paraId="75ED787A" w14:textId="77777777" w:rsidR="000C6B9A" w:rsidRDefault="000C6B9A" w:rsidP="00C12D5B">
          <w:pPr>
            <w:spacing w:after="1920"/>
          </w:pPr>
        </w:p>
        <w:p w14:paraId="3233D044" w14:textId="77777777" w:rsidR="00C83741" w:rsidRPr="00D638EF" w:rsidRDefault="00C83741" w:rsidP="0091430F">
          <w:pPr>
            <w:pStyle w:val="PNNLBackCover"/>
            <w:rPr>
              <w:rFonts w:ascii="Arial" w:hAnsi="Arial" w:cs="Arial"/>
            </w:rPr>
          </w:pPr>
          <w:r w:rsidRPr="00D638EF">
            <w:rPr>
              <w:rFonts w:ascii="Arial" w:hAnsi="Arial" w:cs="Arial"/>
            </w:rPr>
            <w:t>Pacific North</w:t>
          </w:r>
          <w:r w:rsidR="00A721D7" w:rsidRPr="00D638EF">
            <w:rPr>
              <w:rFonts w:ascii="Arial" w:hAnsi="Arial" w:cs="Arial"/>
            </w:rPr>
            <w:t>w</w:t>
          </w:r>
          <w:r w:rsidRPr="00D638EF">
            <w:rPr>
              <w:rFonts w:ascii="Arial" w:hAnsi="Arial" w:cs="Arial"/>
            </w:rPr>
            <w:t xml:space="preserve">est </w:t>
          </w:r>
          <w:r w:rsidR="009F4773" w:rsidRPr="00D638EF">
            <w:rPr>
              <w:rFonts w:ascii="Arial" w:hAnsi="Arial" w:cs="Arial"/>
            </w:rPr>
            <w:br/>
          </w:r>
          <w:r w:rsidRPr="00D638EF">
            <w:rPr>
              <w:rFonts w:ascii="Arial" w:hAnsi="Arial" w:cs="Arial"/>
            </w:rPr>
            <w:t>National Laboratory</w:t>
          </w:r>
        </w:p>
        <w:p w14:paraId="08C98292" w14:textId="77777777" w:rsidR="00C83741" w:rsidRPr="00D638EF" w:rsidRDefault="00C83741" w:rsidP="0091430F">
          <w:pPr>
            <w:pStyle w:val="PNNLBackCoverAddress"/>
            <w:rPr>
              <w:rFonts w:ascii="Arial" w:hAnsi="Arial" w:cs="Arial"/>
            </w:rPr>
          </w:pPr>
          <w:r w:rsidRPr="00D638EF">
            <w:rPr>
              <w:rFonts w:ascii="Arial" w:hAnsi="Arial" w:cs="Arial"/>
            </w:rPr>
            <w:t>902 Battelle Boulevard</w:t>
          </w:r>
        </w:p>
        <w:p w14:paraId="35A2C18E" w14:textId="77777777" w:rsidR="00C83741" w:rsidRPr="00D638EF" w:rsidRDefault="00C83741" w:rsidP="0091430F">
          <w:pPr>
            <w:pStyle w:val="PNNLBackCoverAddress"/>
            <w:rPr>
              <w:rFonts w:ascii="Arial" w:hAnsi="Arial" w:cs="Arial"/>
            </w:rPr>
          </w:pPr>
          <w:r w:rsidRPr="00D638EF">
            <w:rPr>
              <w:rFonts w:ascii="Arial" w:hAnsi="Arial" w:cs="Arial"/>
            </w:rPr>
            <w:t>P.O. Box 999</w:t>
          </w:r>
        </w:p>
        <w:p w14:paraId="3FE82600" w14:textId="77777777" w:rsidR="00C83741" w:rsidRPr="00D638EF" w:rsidRDefault="00C83741" w:rsidP="0091430F">
          <w:pPr>
            <w:pStyle w:val="PNNLBackCoverAddress"/>
            <w:rPr>
              <w:rFonts w:ascii="Arial" w:hAnsi="Arial" w:cs="Arial"/>
            </w:rPr>
          </w:pPr>
          <w:r w:rsidRPr="00D638EF">
            <w:rPr>
              <w:rFonts w:ascii="Arial" w:hAnsi="Arial" w:cs="Arial"/>
            </w:rPr>
            <w:t>Richland, WA 9935</w:t>
          </w:r>
          <w:r w:rsidR="002A7631" w:rsidRPr="00D638EF">
            <w:rPr>
              <w:rFonts w:ascii="Arial" w:hAnsi="Arial" w:cs="Arial"/>
            </w:rPr>
            <w:t>4</w:t>
          </w:r>
        </w:p>
        <w:p w14:paraId="4806976E" w14:textId="77777777" w:rsidR="00C83741" w:rsidRPr="00D638EF" w:rsidRDefault="00C83741" w:rsidP="0091430F">
          <w:pPr>
            <w:pStyle w:val="PNNLBackCoverAddress"/>
            <w:rPr>
              <w:rFonts w:ascii="Arial" w:hAnsi="Arial" w:cs="Arial"/>
            </w:rPr>
          </w:pPr>
          <w:r w:rsidRPr="00D638EF">
            <w:rPr>
              <w:rFonts w:ascii="Arial" w:hAnsi="Arial" w:cs="Arial"/>
            </w:rPr>
            <w:t>1-888-375-PNNL (7665)</w:t>
          </w:r>
        </w:p>
        <w:p w14:paraId="3FEC311A" w14:textId="77777777" w:rsidR="00512532" w:rsidRPr="00D638EF" w:rsidRDefault="009F3348" w:rsidP="0091430F">
          <w:pPr>
            <w:pStyle w:val="PNNLBackCoverWeb"/>
            <w:rPr>
              <w:rFonts w:ascii="Arial" w:hAnsi="Arial" w:cs="Arial"/>
              <w:noProof/>
            </w:rPr>
          </w:pPr>
          <w:hyperlink r:id="rId25" w:history="1">
            <w:r w:rsidR="00C83741" w:rsidRPr="00D638EF">
              <w:rPr>
                <w:rFonts w:ascii="Arial" w:hAnsi="Arial" w:cs="Arial"/>
                <w:b/>
                <w:i/>
              </w:rPr>
              <w:t>www.pnnl.gov</w:t>
            </w:r>
          </w:hyperlink>
        </w:p>
      </w:sdtContent>
    </w:sdt>
    <w:sectPr w:rsidR="00512532" w:rsidRPr="00D638EF" w:rsidSect="00953A04">
      <w:footerReference w:type="default" r:id="rId26"/>
      <w:footnotePr>
        <w:numRestart w:val="eachPage"/>
      </w:footnotePr>
      <w:pgSz w:w="12240" w:h="15840" w:code="1"/>
      <w:pgMar w:top="1440" w:right="1440" w:bottom="1440" w:left="1440" w:header="720" w:footer="720" w:gutter="0"/>
      <w:pgNumType w:start="1" w:chapStyle="6" w:chapSep="period"/>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E88009" w14:textId="77777777" w:rsidR="00C21D8D" w:rsidRDefault="00C21D8D">
      <w:r>
        <w:separator/>
      </w:r>
    </w:p>
    <w:p w14:paraId="6D849835" w14:textId="77777777" w:rsidR="00C21D8D" w:rsidRDefault="00C21D8D"/>
  </w:endnote>
  <w:endnote w:type="continuationSeparator" w:id="0">
    <w:p w14:paraId="54665B2F" w14:textId="77777777" w:rsidR="00C21D8D" w:rsidRDefault="00C21D8D" w:rsidP="00E12AF4">
      <w:r>
        <w:continuationSeparator/>
      </w:r>
    </w:p>
    <w:p w14:paraId="75C50239" w14:textId="77777777" w:rsidR="00C21D8D" w:rsidRDefault="00C21D8D"/>
    <w:p w14:paraId="21F330FB" w14:textId="77777777" w:rsidR="00C21D8D" w:rsidRDefault="00C21D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6585C4" w14:textId="77777777" w:rsidR="00C21D8D" w:rsidRDefault="00C21D8D" w:rsidP="0010023C">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46C9B01B" w14:textId="77777777" w:rsidR="00C21D8D" w:rsidRDefault="00C21D8D" w:rsidP="001002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C01E54" w14:textId="77777777" w:rsidR="00C21D8D" w:rsidRPr="00DA5276" w:rsidRDefault="00C21D8D" w:rsidP="002A7EF6">
    <w:pPr>
      <w:pStyle w:val="Footer"/>
      <w:tabs>
        <w:tab w:val="clear" w:pos="10080"/>
        <w:tab w:val="right" w:pos="13680"/>
      </w:tabs>
      <w:rPr>
        <w:sz w:val="2"/>
      </w:rPr>
    </w:pPr>
    <w:r w:rsidRPr="00F40C86">
      <w:rPr>
        <w:rStyle w:val="PageNumber"/>
      </w:rPr>
      <w:fldChar w:fldCharType="begin"/>
    </w:r>
    <w:r w:rsidRPr="00F40C86">
      <w:rPr>
        <w:rStyle w:val="PageNumber"/>
      </w:rPr>
      <w:instrText xml:space="preserve"> PAGE </w:instrText>
    </w:r>
    <w:r w:rsidRPr="00F40C86">
      <w:rPr>
        <w:rStyle w:val="PageNumber"/>
      </w:rPr>
      <w:fldChar w:fldCharType="separate"/>
    </w:r>
    <w:r>
      <w:rPr>
        <w:rStyle w:val="PageNumber"/>
      </w:rPr>
      <w:t>1</w:t>
    </w:r>
    <w:r w:rsidRPr="00F40C86">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F504C4" w14:textId="77777777" w:rsidR="00C21D8D" w:rsidRPr="008C559B" w:rsidRDefault="00C21D8D" w:rsidP="004078F5">
    <w:pPr>
      <w:pStyle w:val="Footer"/>
      <w:rPr>
        <w:sz w:val="2"/>
      </w:rPr>
    </w:pPr>
    <w:r>
      <w:rPr>
        <w:noProof/>
      </w:rPr>
      <mc:AlternateContent>
        <mc:Choice Requires="wps">
          <w:drawing>
            <wp:anchor distT="0" distB="0" distL="114300" distR="114300" simplePos="0" relativeHeight="251659264" behindDoc="1" locked="0" layoutInCell="1" allowOverlap="1" wp14:anchorId="16093B8F" wp14:editId="7B3E9D4F">
              <wp:simplePos x="0" y="0"/>
              <wp:positionH relativeFrom="page">
                <wp:align>center</wp:align>
              </wp:positionH>
              <wp:positionV relativeFrom="page">
                <wp:align>top</wp:align>
              </wp:positionV>
              <wp:extent cx="9966960" cy="2286000"/>
              <wp:effectExtent l="0" t="0" r="0" b="0"/>
              <wp:wrapNone/>
              <wp:docPr id="12" name="Right Triangle 12"/>
              <wp:cNvGraphicFramePr/>
              <a:graphic xmlns:a="http://schemas.openxmlformats.org/drawingml/2006/main">
                <a:graphicData uri="http://schemas.microsoft.com/office/word/2010/wordprocessingShape">
                  <wps:wsp>
                    <wps:cNvSpPr/>
                    <wps:spPr>
                      <a:xfrm flipH="1" flipV="1">
                        <a:off x="0" y="0"/>
                        <a:ext cx="9966960" cy="2286000"/>
                      </a:xfrm>
                      <a:prstGeom prst="rtTriangle">
                        <a:avLst/>
                      </a:prstGeom>
                      <a:solidFill>
                        <a:srgbClr val="E8E8E8"/>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323405D" id="_x0000_t6" coordsize="21600,21600" o:spt="6" path="m,l,21600r21600,xe">
              <v:stroke joinstyle="miter"/>
              <v:path gradientshapeok="t" o:connecttype="custom" o:connectlocs="0,0;0,10800;0,21600;10800,21600;21600,21600;10800,10800" textboxrect="1800,12600,12600,19800"/>
            </v:shapetype>
            <v:shape id="Right Triangle 12" o:spid="_x0000_s1026" type="#_x0000_t6" style="position:absolute;margin-left:0;margin-top:0;width:784.8pt;height:180pt;flip:x y;z-index:-251657216;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" fillcolor="#e8e8e8" stroked="f">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321883" w14:textId="77777777" w:rsidR="00C21D8D" w:rsidRDefault="00C21D8D">
      <w:r>
        <w:separator/>
      </w:r>
    </w:p>
  </w:footnote>
  <w:footnote w:type="continuationSeparator" w:id="0">
    <w:p w14:paraId="11A386DF" w14:textId="77777777" w:rsidR="00C21D8D" w:rsidRDefault="00C21D8D">
      <w:r>
        <w:continuationSeparator/>
      </w:r>
    </w:p>
  </w:footnote>
  <w:footnote w:type="continuationNotice" w:id="1">
    <w:p w14:paraId="616D0028" w14:textId="77777777" w:rsidR="00C21D8D" w:rsidRDefault="00C21D8D"/>
  </w:footnote>
  <w:footnote w:id="2">
    <w:p w14:paraId="2C25E107" w14:textId="77777777" w:rsidR="00C21D8D" w:rsidRDefault="00C21D8D">
      <w:pPr>
        <w:pStyle w:val="FootnoteText"/>
      </w:pPr>
      <w:r>
        <w:rPr>
          <w:rStyle w:val="FootnoteReference"/>
        </w:rPr>
        <w:footnoteRef/>
      </w:r>
      <w:r>
        <w:t xml:space="preserve"> 18 CFR </w:t>
      </w:r>
      <w:r>
        <w:rPr>
          <w:rFonts w:cs="Arial"/>
        </w:rPr>
        <w:t>§</w:t>
      </w:r>
      <w:r>
        <w:t xml:space="preserve"> 292.204(b)(1)(i). </w:t>
      </w:r>
    </w:p>
  </w:footnote>
  <w:footnote w:id="3">
    <w:p w14:paraId="443690CD" w14:textId="77777777" w:rsidR="00C21D8D" w:rsidRDefault="00C21D8D">
      <w:pPr>
        <w:pStyle w:val="FootnoteText"/>
      </w:pPr>
      <w:r>
        <w:rPr>
          <w:rStyle w:val="FootnoteReference"/>
        </w:rPr>
        <w:footnoteRef/>
      </w:r>
      <w:r>
        <w:t xml:space="preserve"> See </w:t>
      </w:r>
      <w:r w:rsidRPr="0025604F">
        <w:rPr>
          <w:i/>
          <w:iCs/>
        </w:rPr>
        <w:t xml:space="preserve">Luz Finance and Development Corp., </w:t>
      </w:r>
      <w:r w:rsidRPr="0025604F">
        <w:t>51 FERC 61,078</w:t>
      </w:r>
      <w:r>
        <w:t xml:space="preserve">. </w:t>
      </w:r>
    </w:p>
  </w:footnote>
  <w:footnote w:id="4">
    <w:p w14:paraId="7C5DD858" w14:textId="77777777" w:rsidR="00C21D8D" w:rsidRDefault="00C21D8D">
      <w:pPr>
        <w:pStyle w:val="FootnoteText"/>
      </w:pPr>
      <w:r>
        <w:rPr>
          <w:rStyle w:val="FootnoteReference"/>
        </w:rPr>
        <w:footnoteRef/>
      </w:r>
      <w:r>
        <w:t xml:space="preserve"> Mongird K, V Viswanathan, P Balducci, J Alam, V Fotedar, V Koritarov, B </w:t>
      </w:r>
      <w:r>
        <w:t xml:space="preserve">Hadjerioua. 2019. “Energy Storage Technology and Cost Characterization Report.” Richland, WA: Pacific Northwest National Laboratory. </w:t>
      </w:r>
      <w:hyperlink r:id="rId1" w:history="1">
        <w:r w:rsidRPr="00C33BF0">
          <w:rPr>
            <w:rStyle w:val="Hyperlink"/>
          </w:rPr>
          <w:t>http://energystorage.pnnl.gov/pdf/PNNL-28866.pdf</w:t>
        </w:r>
      </w:hyperlink>
      <w:r>
        <w:t xml:space="preserve">. </w:t>
      </w:r>
    </w:p>
  </w:footnote>
  <w:footnote w:id="5">
    <w:p w14:paraId="374199EF" w14:textId="77777777" w:rsidR="00C21D8D" w:rsidRDefault="00C21D8D">
      <w:pPr>
        <w:pStyle w:val="FootnoteText"/>
      </w:pPr>
      <w:r>
        <w:rPr>
          <w:rStyle w:val="FootnoteReference"/>
        </w:rPr>
        <w:footnoteRef/>
      </w:r>
      <w:r>
        <w:t xml:space="preserve"> Fu R, D Feldman, R Margolis. 2018. “U.S. Solar Photovoltaic System Cost Benchmark: Q1 2018.” Golden, CO: National Renewable Energy Laboratory. </w:t>
      </w:r>
      <w:hyperlink r:id="rId2" w:history="1">
        <w:r w:rsidRPr="00C33BF0">
          <w:rPr>
            <w:rStyle w:val="Hyperlink"/>
          </w:rPr>
          <w:t>https://www.nrel.gov/docs/fy19osti/72399.pdf</w:t>
        </w:r>
      </w:hyperlink>
      <w:r>
        <w:t xml:space="preserve">. </w:t>
      </w:r>
    </w:p>
  </w:footnote>
  <w:footnote w:id="6">
    <w:p w14:paraId="6ABB4A4D" w14:textId="77777777" w:rsidR="004B0BED" w:rsidRDefault="004B0BED">
      <w:pPr>
        <w:pStyle w:val="FootnoteText"/>
      </w:pPr>
      <w:r>
        <w:rPr>
          <w:rStyle w:val="FootnoteReference"/>
        </w:rPr>
        <w:footnoteRef/>
      </w:r>
      <w:r>
        <w:t xml:space="preserve"> Idaho Power Amended 2019 IRP at pgs. 120-121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EE0ED7" w14:textId="77777777" w:rsidR="00C21D8D" w:rsidRPr="002A7EF6" w:rsidRDefault="00C21D8D" w:rsidP="002A7E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188B14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ECAD1C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3AAAEE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656A93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E0870B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D16616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3"/>
    <w:multiLevelType w:val="singleLevel"/>
    <w:tmpl w:val="20049C96"/>
    <w:lvl w:ilvl="0">
      <w:start w:val="1"/>
      <w:numFmt w:val="bullet"/>
      <w:pStyle w:val="ListBullet2"/>
      <w:lvlText w:val="–"/>
      <w:lvlJc w:val="left"/>
      <w:pPr>
        <w:tabs>
          <w:tab w:val="num" w:pos="720"/>
        </w:tabs>
        <w:ind w:left="720" w:hanging="360"/>
      </w:pPr>
      <w:rPr>
        <w:rFonts w:ascii="Times New Roman" w:hAnsi="Times New Roman" w:cs="Times New Roman" w:hint="default"/>
      </w:rPr>
    </w:lvl>
  </w:abstractNum>
  <w:abstractNum w:abstractNumId="7" w15:restartNumberingAfterBreak="0">
    <w:nsid w:val="08F00BD4"/>
    <w:multiLevelType w:val="hybridMultilevel"/>
    <w:tmpl w:val="02A61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9176686"/>
    <w:multiLevelType w:val="hybridMultilevel"/>
    <w:tmpl w:val="38B85E5E"/>
    <w:lvl w:ilvl="0" w:tplc="12909B40">
      <w:start w:val="1"/>
      <w:numFmt w:val="bullet"/>
      <w:pStyle w:val="ListBullet"/>
      <w:lvlText w:val=""/>
      <w:lvlJc w:val="left"/>
      <w:pPr>
        <w:tabs>
          <w:tab w:val="num" w:pos="216"/>
        </w:tabs>
        <w:ind w:left="216" w:hanging="216"/>
      </w:pPr>
      <w:rPr>
        <w:rFonts w:ascii="Symbol" w:hAnsi="Symbol" w:hint="default"/>
      </w:rPr>
    </w:lvl>
    <w:lvl w:ilvl="1" w:tplc="F788BA18">
      <w:start w:val="1"/>
      <w:numFmt w:val="bullet"/>
      <w:lvlText w:val="–"/>
      <w:lvlJc w:val="left"/>
      <w:pPr>
        <w:tabs>
          <w:tab w:val="num" w:pos="576"/>
        </w:tabs>
        <w:ind w:left="576" w:hanging="360"/>
      </w:pPr>
      <w:rPr>
        <w:rFonts w:ascii="Arial" w:hAnsi="Arial" w:hint="default"/>
        <w:color w:val="auto"/>
        <w:u w:color="FFC000"/>
      </w:rPr>
    </w:lvl>
    <w:lvl w:ilvl="2" w:tplc="334A17DA">
      <w:start w:val="1"/>
      <w:numFmt w:val="bullet"/>
      <w:lvlText w:val="o"/>
      <w:lvlJc w:val="left"/>
      <w:pPr>
        <w:tabs>
          <w:tab w:val="num" w:pos="936"/>
        </w:tabs>
        <w:ind w:left="936" w:hanging="360"/>
      </w:pPr>
      <w:rPr>
        <w:rFonts w:ascii="Courier New" w:hAnsi="Courier New" w:hint="default"/>
      </w:rPr>
    </w:lvl>
    <w:lvl w:ilvl="3" w:tplc="78A6ED68">
      <w:start w:val="1"/>
      <w:numFmt w:val="bullet"/>
      <w:lvlText w:val=""/>
      <w:lvlJc w:val="left"/>
      <w:pPr>
        <w:tabs>
          <w:tab w:val="num" w:pos="1296"/>
        </w:tabs>
        <w:ind w:left="1296" w:hanging="360"/>
      </w:pPr>
      <w:rPr>
        <w:rFonts w:ascii="Wingdings" w:hAnsi="Wingdings" w:hint="default"/>
      </w:rPr>
    </w:lvl>
    <w:lvl w:ilvl="4" w:tplc="04090003" w:tentative="1">
      <w:start w:val="1"/>
      <w:numFmt w:val="bullet"/>
      <w:lvlText w:val="o"/>
      <w:lvlJc w:val="left"/>
      <w:pPr>
        <w:tabs>
          <w:tab w:val="num" w:pos="3456"/>
        </w:tabs>
        <w:ind w:left="3456" w:hanging="360"/>
      </w:pPr>
      <w:rPr>
        <w:rFonts w:ascii="Courier New" w:hAnsi="Courier New" w:hint="default"/>
      </w:rPr>
    </w:lvl>
    <w:lvl w:ilvl="5" w:tplc="04090005" w:tentative="1">
      <w:start w:val="1"/>
      <w:numFmt w:val="bullet"/>
      <w:lvlText w:val=""/>
      <w:lvlJc w:val="left"/>
      <w:pPr>
        <w:tabs>
          <w:tab w:val="num" w:pos="4176"/>
        </w:tabs>
        <w:ind w:left="4176" w:hanging="360"/>
      </w:pPr>
      <w:rPr>
        <w:rFonts w:ascii="Wingdings" w:hAnsi="Wingdings" w:hint="default"/>
      </w:rPr>
    </w:lvl>
    <w:lvl w:ilvl="6" w:tplc="04090001" w:tentative="1">
      <w:start w:val="1"/>
      <w:numFmt w:val="bullet"/>
      <w:lvlText w:val=""/>
      <w:lvlJc w:val="left"/>
      <w:pPr>
        <w:tabs>
          <w:tab w:val="num" w:pos="4896"/>
        </w:tabs>
        <w:ind w:left="4896" w:hanging="360"/>
      </w:pPr>
      <w:rPr>
        <w:rFonts w:ascii="Symbol" w:hAnsi="Symbol" w:hint="default"/>
      </w:rPr>
    </w:lvl>
    <w:lvl w:ilvl="7" w:tplc="04090003" w:tentative="1">
      <w:start w:val="1"/>
      <w:numFmt w:val="bullet"/>
      <w:lvlText w:val="o"/>
      <w:lvlJc w:val="left"/>
      <w:pPr>
        <w:tabs>
          <w:tab w:val="num" w:pos="5616"/>
        </w:tabs>
        <w:ind w:left="5616" w:hanging="360"/>
      </w:pPr>
      <w:rPr>
        <w:rFonts w:ascii="Courier New" w:hAnsi="Courier New" w:hint="default"/>
      </w:rPr>
    </w:lvl>
    <w:lvl w:ilvl="8" w:tplc="04090005" w:tentative="1">
      <w:start w:val="1"/>
      <w:numFmt w:val="bullet"/>
      <w:lvlText w:val=""/>
      <w:lvlJc w:val="left"/>
      <w:pPr>
        <w:tabs>
          <w:tab w:val="num" w:pos="6336"/>
        </w:tabs>
        <w:ind w:left="6336" w:hanging="360"/>
      </w:pPr>
      <w:rPr>
        <w:rFonts w:ascii="Wingdings" w:hAnsi="Wingdings" w:hint="default"/>
      </w:rPr>
    </w:lvl>
  </w:abstractNum>
  <w:abstractNum w:abstractNumId="9" w15:restartNumberingAfterBreak="0">
    <w:nsid w:val="16C65070"/>
    <w:multiLevelType w:val="hybridMultilevel"/>
    <w:tmpl w:val="5FE89F18"/>
    <w:lvl w:ilvl="0" w:tplc="F3CC5862">
      <w:start w:val="1"/>
      <w:numFmt w:val="decimal"/>
      <w:pStyle w:val="ListNumb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58C2708"/>
    <w:multiLevelType w:val="hybridMultilevel"/>
    <w:tmpl w:val="EF38B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FE6B59"/>
    <w:multiLevelType w:val="multilevel"/>
    <w:tmpl w:val="B6402E34"/>
    <w:lvl w:ilvl="0">
      <w:start w:val="1"/>
      <w:numFmt w:val="decimal"/>
      <w:pStyle w:val="Heading1"/>
      <w:lvlText w:val="%1.0"/>
      <w:lvlJc w:val="left"/>
      <w:pPr>
        <w:tabs>
          <w:tab w:val="num" w:pos="720"/>
        </w:tabs>
        <w:ind w:left="720" w:hanging="720"/>
      </w:pPr>
      <w:rPr>
        <w:rFonts w:asciiTheme="majorHAnsi" w:hAnsiTheme="majorHAnsi" w:cs="Arial" w:hint="default"/>
        <w:b/>
        <w:i w:val="0"/>
        <w:caps w:val="0"/>
        <w:strike w:val="0"/>
        <w:dstrike w:val="0"/>
        <w:vanish w:val="0"/>
        <w:color w:val="auto"/>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left"/>
      <w:pPr>
        <w:tabs>
          <w:tab w:val="num" w:pos="648"/>
        </w:tabs>
        <w:ind w:left="648" w:hanging="648"/>
      </w:pPr>
      <w:rPr>
        <w:rFonts w:asciiTheme="majorHAnsi" w:hAnsiTheme="majorHAnsi" w:cs="Arial" w:hint="default"/>
        <w:b/>
        <w:i w:val="0"/>
        <w:color w:val="auto"/>
        <w:sz w:val="28"/>
      </w:rPr>
    </w:lvl>
    <w:lvl w:ilvl="2">
      <w:start w:val="1"/>
      <w:numFmt w:val="decimal"/>
      <w:pStyle w:val="Heading3"/>
      <w:lvlText w:val="%1.%2.%3"/>
      <w:lvlJc w:val="left"/>
      <w:pPr>
        <w:tabs>
          <w:tab w:val="num" w:pos="936"/>
        </w:tabs>
        <w:ind w:left="936" w:hanging="936"/>
      </w:pPr>
      <w:rPr>
        <w:rFonts w:asciiTheme="majorHAnsi" w:hAnsiTheme="majorHAnsi" w:cs="Arial" w:hint="default"/>
        <w:b/>
        <w:i w:val="0"/>
        <w:color w:val="auto"/>
        <w:sz w:val="24"/>
      </w:rPr>
    </w:lvl>
    <w:lvl w:ilvl="3">
      <w:start w:val="1"/>
      <w:numFmt w:val="decimal"/>
      <w:pStyle w:val="Heading4"/>
      <w:lvlText w:val="%1.%2.%3.%4"/>
      <w:lvlJc w:val="left"/>
      <w:pPr>
        <w:tabs>
          <w:tab w:val="num" w:pos="1037"/>
        </w:tabs>
        <w:ind w:left="1037" w:hanging="1037"/>
      </w:pPr>
      <w:rPr>
        <w:rFonts w:asciiTheme="majorHAnsi" w:hAnsiTheme="majorHAnsi" w:cs="Arial" w:hint="default"/>
        <w:b/>
        <w:i w:val="0"/>
        <w:color w:val="auto"/>
        <w:sz w:val="22"/>
      </w:rPr>
    </w:lvl>
    <w:lvl w:ilvl="4">
      <w:start w:val="1"/>
      <w:numFmt w:val="none"/>
      <w:pStyle w:val="Heading5"/>
      <w:suff w:val="nothing"/>
      <w:lvlText w:val=""/>
      <w:lvlJc w:val="left"/>
      <w:pPr>
        <w:ind w:left="0" w:firstLine="0"/>
      </w:pPr>
      <w:rPr>
        <w:rFonts w:ascii="Arial" w:hAnsi="Arial" w:cs="Arial" w:hint="default"/>
        <w:b/>
        <w:i w:val="0"/>
        <w:color w:val="auto"/>
        <w:sz w:val="22"/>
      </w:rPr>
    </w:lvl>
    <w:lvl w:ilvl="5">
      <w:start w:val="1"/>
      <w:numFmt w:val="upperLetter"/>
      <w:pStyle w:val="Heading6"/>
      <w:suff w:val="space"/>
      <w:lvlText w:val="Appendix %6"/>
      <w:lvlJc w:val="left"/>
      <w:pPr>
        <w:ind w:left="0" w:firstLine="0"/>
      </w:pPr>
      <w:rPr>
        <w:rFonts w:asciiTheme="majorHAnsi" w:hAnsiTheme="majorHAnsi" w:cs="Arial" w:hint="default"/>
        <w:b/>
        <w:i w:val="0"/>
        <w:color w:val="auto"/>
        <w:sz w:val="32"/>
        <w:szCs w:val="32"/>
      </w:rPr>
    </w:lvl>
    <w:lvl w:ilvl="6">
      <w:start w:val="1"/>
      <w:numFmt w:val="decimal"/>
      <w:pStyle w:val="Heading7"/>
      <w:lvlText w:val="%6.%7"/>
      <w:lvlJc w:val="left"/>
      <w:pPr>
        <w:tabs>
          <w:tab w:val="num" w:pos="648"/>
        </w:tabs>
        <w:ind w:left="648" w:hanging="648"/>
      </w:pPr>
      <w:rPr>
        <w:rFonts w:asciiTheme="majorHAnsi" w:hAnsiTheme="majorHAnsi" w:cs="Arial" w:hint="default"/>
        <w:b/>
        <w:i w:val="0"/>
        <w:color w:val="auto"/>
        <w:sz w:val="28"/>
        <w:szCs w:val="28"/>
      </w:rPr>
    </w:lvl>
    <w:lvl w:ilvl="7">
      <w:start w:val="1"/>
      <w:numFmt w:val="decimal"/>
      <w:pStyle w:val="Heading8"/>
      <w:lvlText w:val="%6.%7.%8"/>
      <w:lvlJc w:val="left"/>
      <w:pPr>
        <w:tabs>
          <w:tab w:val="num" w:pos="936"/>
        </w:tabs>
        <w:ind w:left="936" w:hanging="936"/>
      </w:pPr>
      <w:rPr>
        <w:rFonts w:asciiTheme="majorHAnsi" w:hAnsiTheme="majorHAnsi" w:cs="Arial" w:hint="default"/>
        <w:b/>
        <w:bCs w:val="0"/>
        <w:i w:val="0"/>
        <w:iCs w:val="0"/>
        <w:caps w:val="0"/>
        <w:smallCaps w:val="0"/>
        <w:strike w:val="0"/>
        <w:dstrike w:val="0"/>
        <w:noProof w:val="0"/>
        <w:snapToGrid w:val="0"/>
        <w:vanish w:val="0"/>
        <w:color w:val="auto"/>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Heading9"/>
      <w:lvlText w:val="%6.%7.%8.%9"/>
      <w:lvlJc w:val="left"/>
      <w:pPr>
        <w:tabs>
          <w:tab w:val="num" w:pos="1037"/>
        </w:tabs>
        <w:ind w:left="1037" w:hanging="1037"/>
      </w:pPr>
      <w:rPr>
        <w:rFonts w:asciiTheme="majorHAnsi" w:hAnsiTheme="majorHAnsi" w:cs="Arial" w:hint="default"/>
        <w:b/>
        <w:i w:val="0"/>
        <w:color w:val="auto"/>
        <w:sz w:val="22"/>
        <w:szCs w:val="22"/>
      </w:rPr>
    </w:lvl>
  </w:abstractNum>
  <w:abstractNum w:abstractNumId="12" w15:restartNumberingAfterBreak="0">
    <w:nsid w:val="2E2205AF"/>
    <w:multiLevelType w:val="hybridMultilevel"/>
    <w:tmpl w:val="5B08D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5D25F7"/>
    <w:multiLevelType w:val="multilevel"/>
    <w:tmpl w:val="68E8E47A"/>
    <w:lvl w:ilvl="0">
      <w:start w:val="1"/>
      <w:numFmt w:val="decimal"/>
      <w:pStyle w:val="List"/>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31775796"/>
    <w:multiLevelType w:val="hybridMultilevel"/>
    <w:tmpl w:val="EBAE1D70"/>
    <w:lvl w:ilvl="0" w:tplc="FBF23A8A">
      <w:start w:val="1"/>
      <w:numFmt w:val="decimal"/>
      <w:lvlText w:val="%1."/>
      <w:lvlJc w:val="right"/>
      <w:pPr>
        <w:tabs>
          <w:tab w:val="num" w:pos="432"/>
        </w:tabs>
        <w:ind w:left="432" w:hanging="72"/>
      </w:pPr>
      <w:rPr>
        <w:rFonts w:hint="default"/>
      </w:rPr>
    </w:lvl>
    <w:lvl w:ilvl="1" w:tplc="B4385DF0">
      <w:start w:val="1"/>
      <w:numFmt w:val="decimal"/>
      <w:lvlText w:val="%2."/>
      <w:lvlJc w:val="left"/>
      <w:pPr>
        <w:tabs>
          <w:tab w:val="num" w:pos="432"/>
        </w:tabs>
        <w:ind w:left="432" w:hanging="144"/>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97500E0"/>
    <w:multiLevelType w:val="multilevel"/>
    <w:tmpl w:val="4F7A4F66"/>
    <w:lvl w:ilvl="0">
      <w:start w:val="1"/>
      <w:numFmt w:val="lowerLetter"/>
      <w:pStyle w:val="ListLetter"/>
      <w:lvlText w:val="%1."/>
      <w:lvlJc w:val="left"/>
      <w:pPr>
        <w:tabs>
          <w:tab w:val="num" w:pos="792"/>
        </w:tabs>
        <w:ind w:left="720" w:hanging="288"/>
      </w:pPr>
      <w:rPr>
        <w:rFonts w:hint="default"/>
      </w:rPr>
    </w:lvl>
    <w:lvl w:ilvl="1">
      <w:start w:val="1"/>
      <w:numFmt w:val="decimal"/>
      <w:lvlText w:val="%1.%2"/>
      <w:lvlJc w:val="left"/>
      <w:pPr>
        <w:tabs>
          <w:tab w:val="num" w:pos="648"/>
        </w:tabs>
        <w:ind w:left="648" w:hanging="648"/>
      </w:pPr>
      <w:rPr>
        <w:rFonts w:ascii="Times New Roman" w:hAnsi="Times New Roman" w:hint="default"/>
        <w:b/>
        <w:i w:val="0"/>
        <w:sz w:val="28"/>
      </w:rPr>
    </w:lvl>
    <w:lvl w:ilvl="2">
      <w:start w:val="1"/>
      <w:numFmt w:val="decimal"/>
      <w:lvlText w:val="%1.%2.%3"/>
      <w:lvlJc w:val="left"/>
      <w:pPr>
        <w:tabs>
          <w:tab w:val="num" w:pos="734"/>
        </w:tabs>
        <w:ind w:left="734" w:hanging="734"/>
      </w:pPr>
      <w:rPr>
        <w:rFonts w:ascii="Times New Roman" w:hAnsi="Times New Roman" w:hint="default"/>
        <w:b/>
        <w:i w:val="0"/>
        <w:sz w:val="24"/>
      </w:rPr>
    </w:lvl>
    <w:lvl w:ilvl="3">
      <w:start w:val="1"/>
      <w:numFmt w:val="decimal"/>
      <w:lvlText w:val="%1.%2.%3.%4"/>
      <w:lvlJc w:val="left"/>
      <w:pPr>
        <w:tabs>
          <w:tab w:val="num" w:pos="1210"/>
        </w:tabs>
        <w:ind w:left="1210" w:hanging="850"/>
      </w:pPr>
      <w:rPr>
        <w:rFonts w:ascii="Times New Roman" w:hAnsi="Times New Roman" w:hint="default"/>
        <w:b/>
        <w:i w:val="0"/>
        <w:sz w:val="22"/>
      </w:rPr>
    </w:lvl>
    <w:lvl w:ilvl="4">
      <w:start w:val="1"/>
      <w:numFmt w:val="decimal"/>
      <w:lvlText w:val="%1.%2.%3.%4.%5"/>
      <w:lvlJc w:val="left"/>
      <w:pPr>
        <w:tabs>
          <w:tab w:val="num" w:pos="1382"/>
        </w:tabs>
        <w:ind w:left="1382" w:hanging="1022"/>
      </w:pPr>
      <w:rPr>
        <w:rFonts w:ascii="Times New Roman" w:hAnsi="Times New Roman" w:hint="default"/>
        <w:b/>
        <w:i w:val="0"/>
        <w:sz w:val="22"/>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16" w15:restartNumberingAfterBreak="0">
    <w:nsid w:val="3FCB2172"/>
    <w:multiLevelType w:val="hybridMultilevel"/>
    <w:tmpl w:val="A33016E8"/>
    <w:lvl w:ilvl="0" w:tplc="521C7AA2">
      <w:start w:val="1"/>
      <w:numFmt w:val="bullet"/>
      <w:lvlText w:val=""/>
      <w:lvlJc w:val="left"/>
      <w:pPr>
        <w:tabs>
          <w:tab w:val="num" w:pos="792"/>
        </w:tabs>
        <w:ind w:left="720"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26B24AD"/>
    <w:multiLevelType w:val="hybridMultilevel"/>
    <w:tmpl w:val="80D016E6"/>
    <w:lvl w:ilvl="0" w:tplc="A664E5E8">
      <w:start w:val="1"/>
      <w:numFmt w:val="bullet"/>
      <w:pStyle w:val="ListBullet3"/>
      <w:lvlText w:val="○"/>
      <w:lvlJc w:val="left"/>
      <w:pPr>
        <w:tabs>
          <w:tab w:val="num" w:pos="1080"/>
        </w:tabs>
        <w:ind w:left="108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55B6AED"/>
    <w:multiLevelType w:val="hybridMultilevel"/>
    <w:tmpl w:val="B2E6B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57963FD"/>
    <w:multiLevelType w:val="hybridMultilevel"/>
    <w:tmpl w:val="5C605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1"/>
  </w:num>
  <w:num w:numId="3">
    <w:abstractNumId w:val="13"/>
  </w:num>
  <w:num w:numId="4">
    <w:abstractNumId w:val="8"/>
  </w:num>
  <w:num w:numId="5">
    <w:abstractNumId w:val="6"/>
  </w:num>
  <w:num w:numId="6">
    <w:abstractNumId w:val="17"/>
  </w:num>
  <w:num w:numId="7">
    <w:abstractNumId w:val="15"/>
  </w:num>
  <w:num w:numId="8">
    <w:abstractNumId w:val="14"/>
  </w:num>
  <w:num w:numId="9">
    <w:abstractNumId w:val="11"/>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4"/>
  </w:num>
  <w:num w:numId="14">
    <w:abstractNumId w:val="3"/>
  </w:num>
  <w:num w:numId="15">
    <w:abstractNumId w:val="2"/>
  </w:num>
  <w:num w:numId="16">
    <w:abstractNumId w:val="1"/>
  </w:num>
  <w:num w:numId="17">
    <w:abstractNumId w:val="0"/>
  </w:num>
  <w:num w:numId="18">
    <w:abstractNumId w:val="9"/>
  </w:num>
  <w:num w:numId="19">
    <w:abstractNumId w:val="9"/>
    <w:lvlOverride w:ilvl="0">
      <w:startOverride w:val="1"/>
    </w:lvlOverride>
  </w:num>
  <w:num w:numId="20">
    <w:abstractNumId w:val="11"/>
  </w:num>
  <w:num w:numId="21">
    <w:abstractNumId w:val="11"/>
  </w:num>
  <w:num w:numId="22">
    <w:abstractNumId w:val="11"/>
  </w:num>
  <w:num w:numId="23">
    <w:abstractNumId w:val="11"/>
  </w:num>
  <w:num w:numId="24">
    <w:abstractNumId w:val="11"/>
  </w:num>
  <w:num w:numId="25">
    <w:abstractNumId w:val="11"/>
  </w:num>
  <w:num w:numId="26">
    <w:abstractNumId w:val="11"/>
  </w:num>
  <w:num w:numId="27">
    <w:abstractNumId w:val="11"/>
  </w:num>
  <w:num w:numId="28">
    <w:abstractNumId w:val="11"/>
  </w:num>
  <w:num w:numId="29">
    <w:abstractNumId w:val="13"/>
  </w:num>
  <w:num w:numId="30">
    <w:abstractNumId w:val="8"/>
  </w:num>
  <w:num w:numId="31">
    <w:abstractNumId w:val="6"/>
  </w:num>
  <w:num w:numId="32">
    <w:abstractNumId w:val="17"/>
  </w:num>
  <w:num w:numId="33">
    <w:abstractNumId w:val="16"/>
  </w:num>
  <w:num w:numId="34">
    <w:abstractNumId w:val="15"/>
  </w:num>
  <w:num w:numId="35">
    <w:abstractNumId w:val="9"/>
  </w:num>
  <w:num w:numId="36">
    <w:abstractNumId w:val="10"/>
  </w:num>
  <w:num w:numId="37">
    <w:abstractNumId w:val="7"/>
  </w:num>
  <w:num w:numId="38">
    <w:abstractNumId w:val="12"/>
  </w:num>
  <w:num w:numId="39">
    <w:abstractNumId w:val="18"/>
  </w:num>
  <w:num w:numId="40">
    <w:abstractNumId w:val="1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attachedTemplate r:id="rId1"/>
  <w:stylePaneFormatFilter w:val="FC24" w:allStyles="0" w:customStyles="0" w:latentStyles="1" w:stylesInUse="0" w:headingStyles="1" w:numberingStyles="0" w:tableStyles="0" w:directFormattingOnRuns="0" w:directFormattingOnParagraphs="0" w:directFormattingOnNumbering="1" w:directFormattingOnTables="1" w:clearFormatting="1" w:top3HeadingStyles="1" w:visibleStyles="1" w:alternateStyleNames="1"/>
  <w:doNotTrackFormatting/>
  <w:defaultTabStop w:val="720"/>
  <w:clickAndTypeStyle w:val="BodyText"/>
  <w:characterSpacingControl w:val="doNotCompress"/>
  <w:hdrShapeDefaults>
    <o:shapedefaults v:ext="edit" spidmax="10241">
      <o:colormru v:ext="edit" colors="#d47827"/>
    </o:shapedefaults>
  </w:hdrShapeDefaults>
  <w:footnotePr>
    <w:numRestart w:val="eachPage"/>
    <w:footnote w:id="-1"/>
    <w:footnote w:id="0"/>
    <w:footnote w:id="1"/>
  </w:footnotePr>
  <w:endnotePr>
    <w:endnote w:id="-1"/>
    <w:endnote w:id="0"/>
  </w:endnotePr>
  <w:compat>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zA1Mje1NDY0MDA0tjBX0lEKTi0uzszPAykwNKsFADcSPZQtAAAA"/>
  </w:docVars>
  <w:rsids>
    <w:rsidRoot w:val="00B11B6D"/>
    <w:rsid w:val="00001ACE"/>
    <w:rsid w:val="00002695"/>
    <w:rsid w:val="00002F16"/>
    <w:rsid w:val="00003D03"/>
    <w:rsid w:val="00004205"/>
    <w:rsid w:val="0000436E"/>
    <w:rsid w:val="000045AB"/>
    <w:rsid w:val="0000537E"/>
    <w:rsid w:val="00005C16"/>
    <w:rsid w:val="000071B8"/>
    <w:rsid w:val="000119FE"/>
    <w:rsid w:val="000132F0"/>
    <w:rsid w:val="00013D06"/>
    <w:rsid w:val="00017DCA"/>
    <w:rsid w:val="00020FA8"/>
    <w:rsid w:val="000227D8"/>
    <w:rsid w:val="00022A91"/>
    <w:rsid w:val="00022C41"/>
    <w:rsid w:val="00024C93"/>
    <w:rsid w:val="0002656F"/>
    <w:rsid w:val="000273BB"/>
    <w:rsid w:val="000279E2"/>
    <w:rsid w:val="00030AB0"/>
    <w:rsid w:val="000315FA"/>
    <w:rsid w:val="00032164"/>
    <w:rsid w:val="000335FF"/>
    <w:rsid w:val="00033754"/>
    <w:rsid w:val="00033796"/>
    <w:rsid w:val="00033D54"/>
    <w:rsid w:val="00034896"/>
    <w:rsid w:val="00034DFF"/>
    <w:rsid w:val="00037025"/>
    <w:rsid w:val="00037221"/>
    <w:rsid w:val="00040136"/>
    <w:rsid w:val="000402EC"/>
    <w:rsid w:val="00041769"/>
    <w:rsid w:val="000418E4"/>
    <w:rsid w:val="00041B1E"/>
    <w:rsid w:val="00041BB4"/>
    <w:rsid w:val="000424FF"/>
    <w:rsid w:val="0004291C"/>
    <w:rsid w:val="00044DE4"/>
    <w:rsid w:val="0004563C"/>
    <w:rsid w:val="00045847"/>
    <w:rsid w:val="000470D8"/>
    <w:rsid w:val="00047130"/>
    <w:rsid w:val="00050514"/>
    <w:rsid w:val="00050769"/>
    <w:rsid w:val="00050E64"/>
    <w:rsid w:val="0005205A"/>
    <w:rsid w:val="0005395C"/>
    <w:rsid w:val="00056632"/>
    <w:rsid w:val="000567C9"/>
    <w:rsid w:val="00060776"/>
    <w:rsid w:val="00061198"/>
    <w:rsid w:val="00061E53"/>
    <w:rsid w:val="00062264"/>
    <w:rsid w:val="00063098"/>
    <w:rsid w:val="000636FE"/>
    <w:rsid w:val="00063761"/>
    <w:rsid w:val="00064797"/>
    <w:rsid w:val="00065369"/>
    <w:rsid w:val="00065379"/>
    <w:rsid w:val="000656A6"/>
    <w:rsid w:val="00065BFF"/>
    <w:rsid w:val="00065DA2"/>
    <w:rsid w:val="00067698"/>
    <w:rsid w:val="00067E4E"/>
    <w:rsid w:val="00072062"/>
    <w:rsid w:val="00072553"/>
    <w:rsid w:val="00072D1C"/>
    <w:rsid w:val="00073F64"/>
    <w:rsid w:val="00073FE7"/>
    <w:rsid w:val="00076D0A"/>
    <w:rsid w:val="000775D9"/>
    <w:rsid w:val="00081040"/>
    <w:rsid w:val="00083726"/>
    <w:rsid w:val="000839B1"/>
    <w:rsid w:val="00086183"/>
    <w:rsid w:val="00087BEC"/>
    <w:rsid w:val="000909B8"/>
    <w:rsid w:val="00090A64"/>
    <w:rsid w:val="00091446"/>
    <w:rsid w:val="000914BF"/>
    <w:rsid w:val="00091B47"/>
    <w:rsid w:val="00095852"/>
    <w:rsid w:val="00095DEF"/>
    <w:rsid w:val="0009672E"/>
    <w:rsid w:val="00097898"/>
    <w:rsid w:val="000A0897"/>
    <w:rsid w:val="000A15D5"/>
    <w:rsid w:val="000A2BA8"/>
    <w:rsid w:val="000A2EE6"/>
    <w:rsid w:val="000A3DED"/>
    <w:rsid w:val="000A3F78"/>
    <w:rsid w:val="000A41D1"/>
    <w:rsid w:val="000A5FD7"/>
    <w:rsid w:val="000A6321"/>
    <w:rsid w:val="000A647E"/>
    <w:rsid w:val="000B0532"/>
    <w:rsid w:val="000B232D"/>
    <w:rsid w:val="000B3604"/>
    <w:rsid w:val="000B41FD"/>
    <w:rsid w:val="000B4A17"/>
    <w:rsid w:val="000B5B0C"/>
    <w:rsid w:val="000B5B3A"/>
    <w:rsid w:val="000B7612"/>
    <w:rsid w:val="000C1C47"/>
    <w:rsid w:val="000C4906"/>
    <w:rsid w:val="000C6B9A"/>
    <w:rsid w:val="000D1A01"/>
    <w:rsid w:val="000D1F9E"/>
    <w:rsid w:val="000D3092"/>
    <w:rsid w:val="000D368F"/>
    <w:rsid w:val="000D36F7"/>
    <w:rsid w:val="000D431F"/>
    <w:rsid w:val="000E0FD9"/>
    <w:rsid w:val="000E107A"/>
    <w:rsid w:val="000E1BCC"/>
    <w:rsid w:val="000E268D"/>
    <w:rsid w:val="000E2E38"/>
    <w:rsid w:val="000E42C2"/>
    <w:rsid w:val="000E6C5B"/>
    <w:rsid w:val="000E7EB7"/>
    <w:rsid w:val="000F0966"/>
    <w:rsid w:val="000F09C6"/>
    <w:rsid w:val="000F195A"/>
    <w:rsid w:val="000F1D2B"/>
    <w:rsid w:val="000F2096"/>
    <w:rsid w:val="000F395C"/>
    <w:rsid w:val="000F427F"/>
    <w:rsid w:val="000F4879"/>
    <w:rsid w:val="000F5A2D"/>
    <w:rsid w:val="0010023C"/>
    <w:rsid w:val="00100685"/>
    <w:rsid w:val="001009B7"/>
    <w:rsid w:val="00102D3F"/>
    <w:rsid w:val="00103452"/>
    <w:rsid w:val="00104FA1"/>
    <w:rsid w:val="00105D47"/>
    <w:rsid w:val="00105D88"/>
    <w:rsid w:val="0010631F"/>
    <w:rsid w:val="0010647C"/>
    <w:rsid w:val="001065D3"/>
    <w:rsid w:val="00106B8F"/>
    <w:rsid w:val="001073C8"/>
    <w:rsid w:val="0010770A"/>
    <w:rsid w:val="0011101A"/>
    <w:rsid w:val="001124C7"/>
    <w:rsid w:val="001137AF"/>
    <w:rsid w:val="00113EA5"/>
    <w:rsid w:val="00113FF1"/>
    <w:rsid w:val="0011743E"/>
    <w:rsid w:val="001177D3"/>
    <w:rsid w:val="001179B4"/>
    <w:rsid w:val="001225D6"/>
    <w:rsid w:val="0012308B"/>
    <w:rsid w:val="00123D83"/>
    <w:rsid w:val="001259E8"/>
    <w:rsid w:val="00126710"/>
    <w:rsid w:val="00127B07"/>
    <w:rsid w:val="00127B9C"/>
    <w:rsid w:val="0013143E"/>
    <w:rsid w:val="001333A8"/>
    <w:rsid w:val="00134E20"/>
    <w:rsid w:val="00135DD2"/>
    <w:rsid w:val="001360A4"/>
    <w:rsid w:val="001426C0"/>
    <w:rsid w:val="0014359F"/>
    <w:rsid w:val="00144066"/>
    <w:rsid w:val="001447E7"/>
    <w:rsid w:val="0014564D"/>
    <w:rsid w:val="0014603A"/>
    <w:rsid w:val="00146897"/>
    <w:rsid w:val="00150EEC"/>
    <w:rsid w:val="00151375"/>
    <w:rsid w:val="00151762"/>
    <w:rsid w:val="001518DD"/>
    <w:rsid w:val="00151CF2"/>
    <w:rsid w:val="00154E10"/>
    <w:rsid w:val="00155352"/>
    <w:rsid w:val="00157AA3"/>
    <w:rsid w:val="001602EF"/>
    <w:rsid w:val="00160931"/>
    <w:rsid w:val="0016152D"/>
    <w:rsid w:val="001630AA"/>
    <w:rsid w:val="00163A11"/>
    <w:rsid w:val="00166F30"/>
    <w:rsid w:val="00170944"/>
    <w:rsid w:val="00171917"/>
    <w:rsid w:val="00171F9A"/>
    <w:rsid w:val="001728A5"/>
    <w:rsid w:val="001733B8"/>
    <w:rsid w:val="00174A00"/>
    <w:rsid w:val="00175184"/>
    <w:rsid w:val="001757A4"/>
    <w:rsid w:val="00175E11"/>
    <w:rsid w:val="001766DA"/>
    <w:rsid w:val="00180B42"/>
    <w:rsid w:val="0018467A"/>
    <w:rsid w:val="00186473"/>
    <w:rsid w:val="00186A55"/>
    <w:rsid w:val="00187223"/>
    <w:rsid w:val="001900B4"/>
    <w:rsid w:val="00191EAD"/>
    <w:rsid w:val="00193FAE"/>
    <w:rsid w:val="00194111"/>
    <w:rsid w:val="00195159"/>
    <w:rsid w:val="001951DA"/>
    <w:rsid w:val="001952BB"/>
    <w:rsid w:val="0019542A"/>
    <w:rsid w:val="001A054A"/>
    <w:rsid w:val="001A1528"/>
    <w:rsid w:val="001A193E"/>
    <w:rsid w:val="001A297E"/>
    <w:rsid w:val="001A2BA6"/>
    <w:rsid w:val="001A2D52"/>
    <w:rsid w:val="001A39CD"/>
    <w:rsid w:val="001A417E"/>
    <w:rsid w:val="001A49DE"/>
    <w:rsid w:val="001A4EF3"/>
    <w:rsid w:val="001A53BD"/>
    <w:rsid w:val="001B38F4"/>
    <w:rsid w:val="001B4DC6"/>
    <w:rsid w:val="001B52E5"/>
    <w:rsid w:val="001B70E7"/>
    <w:rsid w:val="001C125C"/>
    <w:rsid w:val="001C23EF"/>
    <w:rsid w:val="001C2631"/>
    <w:rsid w:val="001C3339"/>
    <w:rsid w:val="001C340B"/>
    <w:rsid w:val="001C3FBF"/>
    <w:rsid w:val="001C5073"/>
    <w:rsid w:val="001C695F"/>
    <w:rsid w:val="001D090D"/>
    <w:rsid w:val="001D1A7D"/>
    <w:rsid w:val="001D1D37"/>
    <w:rsid w:val="001D1D74"/>
    <w:rsid w:val="001D1DA6"/>
    <w:rsid w:val="001D2157"/>
    <w:rsid w:val="001D2527"/>
    <w:rsid w:val="001D40C4"/>
    <w:rsid w:val="001D59E7"/>
    <w:rsid w:val="001D5C20"/>
    <w:rsid w:val="001D6DFF"/>
    <w:rsid w:val="001D768B"/>
    <w:rsid w:val="001D7C98"/>
    <w:rsid w:val="001E0FE8"/>
    <w:rsid w:val="001E39E7"/>
    <w:rsid w:val="001E3A95"/>
    <w:rsid w:val="001E5641"/>
    <w:rsid w:val="001E673D"/>
    <w:rsid w:val="001F0834"/>
    <w:rsid w:val="001F093A"/>
    <w:rsid w:val="001F1633"/>
    <w:rsid w:val="001F1B13"/>
    <w:rsid w:val="001F1D25"/>
    <w:rsid w:val="001F1DB6"/>
    <w:rsid w:val="001F53A1"/>
    <w:rsid w:val="001F7071"/>
    <w:rsid w:val="002002C2"/>
    <w:rsid w:val="0020148E"/>
    <w:rsid w:val="00203F71"/>
    <w:rsid w:val="00204565"/>
    <w:rsid w:val="00205783"/>
    <w:rsid w:val="00206013"/>
    <w:rsid w:val="00206AD0"/>
    <w:rsid w:val="00207267"/>
    <w:rsid w:val="00207803"/>
    <w:rsid w:val="002079F9"/>
    <w:rsid w:val="00211E4C"/>
    <w:rsid w:val="0021295C"/>
    <w:rsid w:val="00212A75"/>
    <w:rsid w:val="00213DDD"/>
    <w:rsid w:val="002146A6"/>
    <w:rsid w:val="002146B7"/>
    <w:rsid w:val="0021605F"/>
    <w:rsid w:val="00220FCD"/>
    <w:rsid w:val="00222799"/>
    <w:rsid w:val="00223F16"/>
    <w:rsid w:val="0022497D"/>
    <w:rsid w:val="00224A90"/>
    <w:rsid w:val="00225AC7"/>
    <w:rsid w:val="0022648B"/>
    <w:rsid w:val="0022705E"/>
    <w:rsid w:val="00227FD1"/>
    <w:rsid w:val="00230CB7"/>
    <w:rsid w:val="00230F90"/>
    <w:rsid w:val="00233139"/>
    <w:rsid w:val="00233140"/>
    <w:rsid w:val="002348A4"/>
    <w:rsid w:val="00235589"/>
    <w:rsid w:val="00236207"/>
    <w:rsid w:val="002370B3"/>
    <w:rsid w:val="00240059"/>
    <w:rsid w:val="00241436"/>
    <w:rsid w:val="00241680"/>
    <w:rsid w:val="00241FEB"/>
    <w:rsid w:val="00242047"/>
    <w:rsid w:val="00242D07"/>
    <w:rsid w:val="002502FB"/>
    <w:rsid w:val="00250734"/>
    <w:rsid w:val="0025125D"/>
    <w:rsid w:val="00251DF2"/>
    <w:rsid w:val="00253A0F"/>
    <w:rsid w:val="00253FE5"/>
    <w:rsid w:val="002559EE"/>
    <w:rsid w:val="0025604F"/>
    <w:rsid w:val="00257D5E"/>
    <w:rsid w:val="00260AE6"/>
    <w:rsid w:val="00260D61"/>
    <w:rsid w:val="00265281"/>
    <w:rsid w:val="00265453"/>
    <w:rsid w:val="00265C75"/>
    <w:rsid w:val="00270786"/>
    <w:rsid w:val="00270B1C"/>
    <w:rsid w:val="00270CEA"/>
    <w:rsid w:val="00271069"/>
    <w:rsid w:val="00271867"/>
    <w:rsid w:val="00274F0D"/>
    <w:rsid w:val="00275EF8"/>
    <w:rsid w:val="00280BB1"/>
    <w:rsid w:val="0028105A"/>
    <w:rsid w:val="002833E0"/>
    <w:rsid w:val="002859B1"/>
    <w:rsid w:val="002901BD"/>
    <w:rsid w:val="002917DB"/>
    <w:rsid w:val="00292636"/>
    <w:rsid w:val="0029305D"/>
    <w:rsid w:val="002940AE"/>
    <w:rsid w:val="002A2B6D"/>
    <w:rsid w:val="002A3667"/>
    <w:rsid w:val="002A6337"/>
    <w:rsid w:val="002A762B"/>
    <w:rsid w:val="002A7631"/>
    <w:rsid w:val="002A7B2A"/>
    <w:rsid w:val="002A7EF6"/>
    <w:rsid w:val="002B0DF0"/>
    <w:rsid w:val="002B20F9"/>
    <w:rsid w:val="002B4E33"/>
    <w:rsid w:val="002B51AF"/>
    <w:rsid w:val="002B5216"/>
    <w:rsid w:val="002B55B8"/>
    <w:rsid w:val="002B671F"/>
    <w:rsid w:val="002C2CBE"/>
    <w:rsid w:val="002C2D40"/>
    <w:rsid w:val="002C4EB4"/>
    <w:rsid w:val="002C625F"/>
    <w:rsid w:val="002C7488"/>
    <w:rsid w:val="002C7924"/>
    <w:rsid w:val="002C7D82"/>
    <w:rsid w:val="002C7E08"/>
    <w:rsid w:val="002D0739"/>
    <w:rsid w:val="002D1075"/>
    <w:rsid w:val="002D232A"/>
    <w:rsid w:val="002D34F8"/>
    <w:rsid w:val="002E17F7"/>
    <w:rsid w:val="002E1BD5"/>
    <w:rsid w:val="002E2B7F"/>
    <w:rsid w:val="002E2CBE"/>
    <w:rsid w:val="002E424E"/>
    <w:rsid w:val="002E6CB6"/>
    <w:rsid w:val="002E6EBB"/>
    <w:rsid w:val="002E7258"/>
    <w:rsid w:val="002F08B9"/>
    <w:rsid w:val="002F12B0"/>
    <w:rsid w:val="002F15CE"/>
    <w:rsid w:val="002F220C"/>
    <w:rsid w:val="002F4CD1"/>
    <w:rsid w:val="002F69CF"/>
    <w:rsid w:val="002F70DD"/>
    <w:rsid w:val="002F72A0"/>
    <w:rsid w:val="002F7DD1"/>
    <w:rsid w:val="003009B3"/>
    <w:rsid w:val="00303D38"/>
    <w:rsid w:val="00305000"/>
    <w:rsid w:val="0030544E"/>
    <w:rsid w:val="003054F4"/>
    <w:rsid w:val="00305F52"/>
    <w:rsid w:val="00306155"/>
    <w:rsid w:val="0030654F"/>
    <w:rsid w:val="00307919"/>
    <w:rsid w:val="00307A5D"/>
    <w:rsid w:val="00307BF1"/>
    <w:rsid w:val="00310A51"/>
    <w:rsid w:val="00310EAC"/>
    <w:rsid w:val="00314543"/>
    <w:rsid w:val="003147E6"/>
    <w:rsid w:val="003153A4"/>
    <w:rsid w:val="00315D57"/>
    <w:rsid w:val="00315E08"/>
    <w:rsid w:val="00317534"/>
    <w:rsid w:val="00317C7C"/>
    <w:rsid w:val="00322038"/>
    <w:rsid w:val="00322258"/>
    <w:rsid w:val="00323B54"/>
    <w:rsid w:val="003258D4"/>
    <w:rsid w:val="003266DB"/>
    <w:rsid w:val="0032730F"/>
    <w:rsid w:val="003278AD"/>
    <w:rsid w:val="003304DA"/>
    <w:rsid w:val="00332A29"/>
    <w:rsid w:val="00334E8F"/>
    <w:rsid w:val="00336233"/>
    <w:rsid w:val="003363C0"/>
    <w:rsid w:val="00336B83"/>
    <w:rsid w:val="003370CD"/>
    <w:rsid w:val="00337F48"/>
    <w:rsid w:val="00340556"/>
    <w:rsid w:val="003469A7"/>
    <w:rsid w:val="0034731F"/>
    <w:rsid w:val="003478F1"/>
    <w:rsid w:val="00347FCA"/>
    <w:rsid w:val="00351EB0"/>
    <w:rsid w:val="00352824"/>
    <w:rsid w:val="003531F3"/>
    <w:rsid w:val="003535F3"/>
    <w:rsid w:val="00354D3D"/>
    <w:rsid w:val="00355107"/>
    <w:rsid w:val="0035701C"/>
    <w:rsid w:val="00357C2D"/>
    <w:rsid w:val="00357FDC"/>
    <w:rsid w:val="00361152"/>
    <w:rsid w:val="00362818"/>
    <w:rsid w:val="00362FA8"/>
    <w:rsid w:val="00363289"/>
    <w:rsid w:val="00365827"/>
    <w:rsid w:val="00365AB9"/>
    <w:rsid w:val="00366BFF"/>
    <w:rsid w:val="00367749"/>
    <w:rsid w:val="0037180E"/>
    <w:rsid w:val="0037197B"/>
    <w:rsid w:val="00372A31"/>
    <w:rsid w:val="00372B1A"/>
    <w:rsid w:val="003742F9"/>
    <w:rsid w:val="00375CD2"/>
    <w:rsid w:val="00380D2C"/>
    <w:rsid w:val="0038112F"/>
    <w:rsid w:val="00381749"/>
    <w:rsid w:val="00381B86"/>
    <w:rsid w:val="003825D6"/>
    <w:rsid w:val="00382BDA"/>
    <w:rsid w:val="003840CE"/>
    <w:rsid w:val="00385A98"/>
    <w:rsid w:val="003865B5"/>
    <w:rsid w:val="00390DB2"/>
    <w:rsid w:val="00390EBF"/>
    <w:rsid w:val="003934C5"/>
    <w:rsid w:val="003973B8"/>
    <w:rsid w:val="0039799C"/>
    <w:rsid w:val="003A0455"/>
    <w:rsid w:val="003A43C3"/>
    <w:rsid w:val="003A451D"/>
    <w:rsid w:val="003A4CB4"/>
    <w:rsid w:val="003A5E6A"/>
    <w:rsid w:val="003A6BEF"/>
    <w:rsid w:val="003B0C4C"/>
    <w:rsid w:val="003B1D48"/>
    <w:rsid w:val="003B2211"/>
    <w:rsid w:val="003B38C0"/>
    <w:rsid w:val="003B55A5"/>
    <w:rsid w:val="003B5CBB"/>
    <w:rsid w:val="003B6CC3"/>
    <w:rsid w:val="003B7598"/>
    <w:rsid w:val="003B763A"/>
    <w:rsid w:val="003C0F97"/>
    <w:rsid w:val="003C2052"/>
    <w:rsid w:val="003C22B7"/>
    <w:rsid w:val="003C31B6"/>
    <w:rsid w:val="003C566B"/>
    <w:rsid w:val="003C767C"/>
    <w:rsid w:val="003C784B"/>
    <w:rsid w:val="003C7D63"/>
    <w:rsid w:val="003C7EDD"/>
    <w:rsid w:val="003D18E3"/>
    <w:rsid w:val="003D19A4"/>
    <w:rsid w:val="003D3537"/>
    <w:rsid w:val="003D4792"/>
    <w:rsid w:val="003D4CB0"/>
    <w:rsid w:val="003D4CB7"/>
    <w:rsid w:val="003D4F48"/>
    <w:rsid w:val="003D5303"/>
    <w:rsid w:val="003D557B"/>
    <w:rsid w:val="003E0822"/>
    <w:rsid w:val="003E0B23"/>
    <w:rsid w:val="003E0B88"/>
    <w:rsid w:val="003E1D34"/>
    <w:rsid w:val="003E342C"/>
    <w:rsid w:val="003E3DB8"/>
    <w:rsid w:val="003E55FF"/>
    <w:rsid w:val="003E5BCA"/>
    <w:rsid w:val="003E5EC7"/>
    <w:rsid w:val="003E5FFA"/>
    <w:rsid w:val="003E6641"/>
    <w:rsid w:val="003E6685"/>
    <w:rsid w:val="003F08D7"/>
    <w:rsid w:val="003F3073"/>
    <w:rsid w:val="003F593E"/>
    <w:rsid w:val="003F5C05"/>
    <w:rsid w:val="003F6284"/>
    <w:rsid w:val="003F7478"/>
    <w:rsid w:val="00401618"/>
    <w:rsid w:val="00401832"/>
    <w:rsid w:val="004019EA"/>
    <w:rsid w:val="0040221E"/>
    <w:rsid w:val="004023E7"/>
    <w:rsid w:val="004034E3"/>
    <w:rsid w:val="00405D1F"/>
    <w:rsid w:val="00407174"/>
    <w:rsid w:val="004078F5"/>
    <w:rsid w:val="004103D4"/>
    <w:rsid w:val="00410DEF"/>
    <w:rsid w:val="00411B69"/>
    <w:rsid w:val="004125A2"/>
    <w:rsid w:val="00412E09"/>
    <w:rsid w:val="00412F25"/>
    <w:rsid w:val="004141CF"/>
    <w:rsid w:val="004152A3"/>
    <w:rsid w:val="004155FB"/>
    <w:rsid w:val="0041581B"/>
    <w:rsid w:val="00417396"/>
    <w:rsid w:val="00421B01"/>
    <w:rsid w:val="004227EB"/>
    <w:rsid w:val="004228EC"/>
    <w:rsid w:val="0042476D"/>
    <w:rsid w:val="0042568A"/>
    <w:rsid w:val="00425D00"/>
    <w:rsid w:val="00426284"/>
    <w:rsid w:val="004274D5"/>
    <w:rsid w:val="0043095D"/>
    <w:rsid w:val="00431722"/>
    <w:rsid w:val="00431C36"/>
    <w:rsid w:val="00431E16"/>
    <w:rsid w:val="00434337"/>
    <w:rsid w:val="00435BFD"/>
    <w:rsid w:val="00435E27"/>
    <w:rsid w:val="0043777C"/>
    <w:rsid w:val="004407CA"/>
    <w:rsid w:val="00440E4A"/>
    <w:rsid w:val="00441DAD"/>
    <w:rsid w:val="00441F15"/>
    <w:rsid w:val="00444552"/>
    <w:rsid w:val="004454B2"/>
    <w:rsid w:val="00445A76"/>
    <w:rsid w:val="00445CD9"/>
    <w:rsid w:val="00445FF6"/>
    <w:rsid w:val="004469E1"/>
    <w:rsid w:val="00447242"/>
    <w:rsid w:val="004476BC"/>
    <w:rsid w:val="00447937"/>
    <w:rsid w:val="00447BA9"/>
    <w:rsid w:val="004509B0"/>
    <w:rsid w:val="00451760"/>
    <w:rsid w:val="0045284A"/>
    <w:rsid w:val="00453E98"/>
    <w:rsid w:val="00454D5A"/>
    <w:rsid w:val="00454F33"/>
    <w:rsid w:val="00455199"/>
    <w:rsid w:val="00455B66"/>
    <w:rsid w:val="00455BE8"/>
    <w:rsid w:val="00456168"/>
    <w:rsid w:val="00456598"/>
    <w:rsid w:val="0045666A"/>
    <w:rsid w:val="00457335"/>
    <w:rsid w:val="00457448"/>
    <w:rsid w:val="00457478"/>
    <w:rsid w:val="00460957"/>
    <w:rsid w:val="00460FD8"/>
    <w:rsid w:val="00464C14"/>
    <w:rsid w:val="00466366"/>
    <w:rsid w:val="00467375"/>
    <w:rsid w:val="004673AF"/>
    <w:rsid w:val="00470129"/>
    <w:rsid w:val="004711F0"/>
    <w:rsid w:val="004718F8"/>
    <w:rsid w:val="00471ED6"/>
    <w:rsid w:val="00472F25"/>
    <w:rsid w:val="00473E0C"/>
    <w:rsid w:val="00474984"/>
    <w:rsid w:val="004750A7"/>
    <w:rsid w:val="004760FE"/>
    <w:rsid w:val="00477D87"/>
    <w:rsid w:val="0048274B"/>
    <w:rsid w:val="00482B31"/>
    <w:rsid w:val="00483152"/>
    <w:rsid w:val="004842B0"/>
    <w:rsid w:val="00484C31"/>
    <w:rsid w:val="0048552E"/>
    <w:rsid w:val="0048597E"/>
    <w:rsid w:val="00491689"/>
    <w:rsid w:val="00492E30"/>
    <w:rsid w:val="00492F4F"/>
    <w:rsid w:val="004935A7"/>
    <w:rsid w:val="004940CC"/>
    <w:rsid w:val="004962C3"/>
    <w:rsid w:val="00496E99"/>
    <w:rsid w:val="004A0517"/>
    <w:rsid w:val="004A08CF"/>
    <w:rsid w:val="004A0A05"/>
    <w:rsid w:val="004A15C4"/>
    <w:rsid w:val="004A1E7C"/>
    <w:rsid w:val="004A2A79"/>
    <w:rsid w:val="004A3098"/>
    <w:rsid w:val="004A32A4"/>
    <w:rsid w:val="004A39FF"/>
    <w:rsid w:val="004A408E"/>
    <w:rsid w:val="004A4BA1"/>
    <w:rsid w:val="004A517F"/>
    <w:rsid w:val="004A5D04"/>
    <w:rsid w:val="004A765E"/>
    <w:rsid w:val="004A774B"/>
    <w:rsid w:val="004A78D1"/>
    <w:rsid w:val="004B02B7"/>
    <w:rsid w:val="004B0BED"/>
    <w:rsid w:val="004B1EAB"/>
    <w:rsid w:val="004B2658"/>
    <w:rsid w:val="004B2D69"/>
    <w:rsid w:val="004B384F"/>
    <w:rsid w:val="004B425A"/>
    <w:rsid w:val="004B45EC"/>
    <w:rsid w:val="004B5E98"/>
    <w:rsid w:val="004B6A54"/>
    <w:rsid w:val="004B6CD4"/>
    <w:rsid w:val="004B7B55"/>
    <w:rsid w:val="004B7E9A"/>
    <w:rsid w:val="004C1B93"/>
    <w:rsid w:val="004C286B"/>
    <w:rsid w:val="004C58CF"/>
    <w:rsid w:val="004C6534"/>
    <w:rsid w:val="004C7CA1"/>
    <w:rsid w:val="004C7E0D"/>
    <w:rsid w:val="004D0E5F"/>
    <w:rsid w:val="004D384A"/>
    <w:rsid w:val="004D41A2"/>
    <w:rsid w:val="004D4950"/>
    <w:rsid w:val="004D569F"/>
    <w:rsid w:val="004D5763"/>
    <w:rsid w:val="004D5804"/>
    <w:rsid w:val="004D581D"/>
    <w:rsid w:val="004D5AAC"/>
    <w:rsid w:val="004D79AC"/>
    <w:rsid w:val="004E20A3"/>
    <w:rsid w:val="004E4126"/>
    <w:rsid w:val="004E4710"/>
    <w:rsid w:val="004E4B65"/>
    <w:rsid w:val="004E58CC"/>
    <w:rsid w:val="004E79F6"/>
    <w:rsid w:val="004F011E"/>
    <w:rsid w:val="004F047D"/>
    <w:rsid w:val="004F0783"/>
    <w:rsid w:val="004F0DCC"/>
    <w:rsid w:val="004F1E25"/>
    <w:rsid w:val="004F2F65"/>
    <w:rsid w:val="004F33D2"/>
    <w:rsid w:val="004F3B69"/>
    <w:rsid w:val="004F4995"/>
    <w:rsid w:val="004F5D8C"/>
    <w:rsid w:val="004F5DA0"/>
    <w:rsid w:val="004F5F00"/>
    <w:rsid w:val="004F6221"/>
    <w:rsid w:val="004F7BA5"/>
    <w:rsid w:val="0050305C"/>
    <w:rsid w:val="005038E6"/>
    <w:rsid w:val="00504ABA"/>
    <w:rsid w:val="00505C32"/>
    <w:rsid w:val="00505D74"/>
    <w:rsid w:val="005065F4"/>
    <w:rsid w:val="0051013C"/>
    <w:rsid w:val="00510372"/>
    <w:rsid w:val="005106EC"/>
    <w:rsid w:val="00511A36"/>
    <w:rsid w:val="00512532"/>
    <w:rsid w:val="00513088"/>
    <w:rsid w:val="005130D3"/>
    <w:rsid w:val="0051450A"/>
    <w:rsid w:val="00514FCB"/>
    <w:rsid w:val="00515DED"/>
    <w:rsid w:val="00516A1F"/>
    <w:rsid w:val="00521B0C"/>
    <w:rsid w:val="00522649"/>
    <w:rsid w:val="00522B98"/>
    <w:rsid w:val="00523511"/>
    <w:rsid w:val="0052351C"/>
    <w:rsid w:val="00523981"/>
    <w:rsid w:val="00524B3B"/>
    <w:rsid w:val="00524E0F"/>
    <w:rsid w:val="0052619E"/>
    <w:rsid w:val="005262B0"/>
    <w:rsid w:val="00526574"/>
    <w:rsid w:val="00526A07"/>
    <w:rsid w:val="00526EF1"/>
    <w:rsid w:val="00527F55"/>
    <w:rsid w:val="00531203"/>
    <w:rsid w:val="0053145B"/>
    <w:rsid w:val="0053164E"/>
    <w:rsid w:val="005325C9"/>
    <w:rsid w:val="00534151"/>
    <w:rsid w:val="00535429"/>
    <w:rsid w:val="00535459"/>
    <w:rsid w:val="00535D40"/>
    <w:rsid w:val="00535D94"/>
    <w:rsid w:val="00536393"/>
    <w:rsid w:val="005363EB"/>
    <w:rsid w:val="005373A6"/>
    <w:rsid w:val="0054016D"/>
    <w:rsid w:val="005409E6"/>
    <w:rsid w:val="005412B3"/>
    <w:rsid w:val="0054137A"/>
    <w:rsid w:val="00541E47"/>
    <w:rsid w:val="00543B73"/>
    <w:rsid w:val="00545394"/>
    <w:rsid w:val="005460FA"/>
    <w:rsid w:val="005468C1"/>
    <w:rsid w:val="00546ADE"/>
    <w:rsid w:val="00546F1C"/>
    <w:rsid w:val="00547066"/>
    <w:rsid w:val="00547310"/>
    <w:rsid w:val="005475F6"/>
    <w:rsid w:val="00550675"/>
    <w:rsid w:val="00551113"/>
    <w:rsid w:val="005511A5"/>
    <w:rsid w:val="00551711"/>
    <w:rsid w:val="00552227"/>
    <w:rsid w:val="005548DE"/>
    <w:rsid w:val="00554CFF"/>
    <w:rsid w:val="0055554C"/>
    <w:rsid w:val="005556F9"/>
    <w:rsid w:val="00555C70"/>
    <w:rsid w:val="00555DDF"/>
    <w:rsid w:val="005565BE"/>
    <w:rsid w:val="00557402"/>
    <w:rsid w:val="00561635"/>
    <w:rsid w:val="005623E7"/>
    <w:rsid w:val="00562FA3"/>
    <w:rsid w:val="00564062"/>
    <w:rsid w:val="00564B05"/>
    <w:rsid w:val="0056515C"/>
    <w:rsid w:val="0056582C"/>
    <w:rsid w:val="00566424"/>
    <w:rsid w:val="00570BDE"/>
    <w:rsid w:val="005714E2"/>
    <w:rsid w:val="00572789"/>
    <w:rsid w:val="0057363E"/>
    <w:rsid w:val="005740FE"/>
    <w:rsid w:val="00576519"/>
    <w:rsid w:val="0057695B"/>
    <w:rsid w:val="00576E1F"/>
    <w:rsid w:val="00576ECA"/>
    <w:rsid w:val="00576F48"/>
    <w:rsid w:val="005773C4"/>
    <w:rsid w:val="0058069F"/>
    <w:rsid w:val="005822AB"/>
    <w:rsid w:val="005823A9"/>
    <w:rsid w:val="005826CE"/>
    <w:rsid w:val="00582C97"/>
    <w:rsid w:val="005832CE"/>
    <w:rsid w:val="00583832"/>
    <w:rsid w:val="00585DD4"/>
    <w:rsid w:val="005861FD"/>
    <w:rsid w:val="00586342"/>
    <w:rsid w:val="00586E5F"/>
    <w:rsid w:val="005932B0"/>
    <w:rsid w:val="0059341D"/>
    <w:rsid w:val="00593C66"/>
    <w:rsid w:val="00594F9F"/>
    <w:rsid w:val="00595A5F"/>
    <w:rsid w:val="005974A1"/>
    <w:rsid w:val="00597A8C"/>
    <w:rsid w:val="005A2A8E"/>
    <w:rsid w:val="005A4B0C"/>
    <w:rsid w:val="005A4B38"/>
    <w:rsid w:val="005A517A"/>
    <w:rsid w:val="005A5DAD"/>
    <w:rsid w:val="005A5DEC"/>
    <w:rsid w:val="005A5E12"/>
    <w:rsid w:val="005A6348"/>
    <w:rsid w:val="005A7B09"/>
    <w:rsid w:val="005A7E2D"/>
    <w:rsid w:val="005B07C0"/>
    <w:rsid w:val="005B3EDA"/>
    <w:rsid w:val="005B4310"/>
    <w:rsid w:val="005B44A8"/>
    <w:rsid w:val="005B48E6"/>
    <w:rsid w:val="005B5509"/>
    <w:rsid w:val="005B7911"/>
    <w:rsid w:val="005C0E40"/>
    <w:rsid w:val="005C1419"/>
    <w:rsid w:val="005C19DC"/>
    <w:rsid w:val="005C1A66"/>
    <w:rsid w:val="005C1B39"/>
    <w:rsid w:val="005C3394"/>
    <w:rsid w:val="005C37D7"/>
    <w:rsid w:val="005C3894"/>
    <w:rsid w:val="005C3A0E"/>
    <w:rsid w:val="005C609B"/>
    <w:rsid w:val="005C7DAE"/>
    <w:rsid w:val="005D1F2D"/>
    <w:rsid w:val="005D2D4E"/>
    <w:rsid w:val="005D5739"/>
    <w:rsid w:val="005D5E47"/>
    <w:rsid w:val="005D62C5"/>
    <w:rsid w:val="005D6546"/>
    <w:rsid w:val="005D668C"/>
    <w:rsid w:val="005D68D5"/>
    <w:rsid w:val="005D6ED2"/>
    <w:rsid w:val="005D78A3"/>
    <w:rsid w:val="005E1597"/>
    <w:rsid w:val="005E2120"/>
    <w:rsid w:val="005E2DD7"/>
    <w:rsid w:val="005E4530"/>
    <w:rsid w:val="005E6AAC"/>
    <w:rsid w:val="005E6E50"/>
    <w:rsid w:val="005F00DD"/>
    <w:rsid w:val="005F0FD6"/>
    <w:rsid w:val="005F28DC"/>
    <w:rsid w:val="005F4EA7"/>
    <w:rsid w:val="005F5E38"/>
    <w:rsid w:val="005F633F"/>
    <w:rsid w:val="005F6CA9"/>
    <w:rsid w:val="005F7CF0"/>
    <w:rsid w:val="00601729"/>
    <w:rsid w:val="006022C1"/>
    <w:rsid w:val="00602C53"/>
    <w:rsid w:val="00602D3A"/>
    <w:rsid w:val="006034D7"/>
    <w:rsid w:val="00604F91"/>
    <w:rsid w:val="00605D07"/>
    <w:rsid w:val="006065C2"/>
    <w:rsid w:val="00606A98"/>
    <w:rsid w:val="00606F69"/>
    <w:rsid w:val="0061036B"/>
    <w:rsid w:val="006133C3"/>
    <w:rsid w:val="006148BE"/>
    <w:rsid w:val="00614FB7"/>
    <w:rsid w:val="0061616D"/>
    <w:rsid w:val="006176F2"/>
    <w:rsid w:val="00617B34"/>
    <w:rsid w:val="00620179"/>
    <w:rsid w:val="00621B37"/>
    <w:rsid w:val="00622C77"/>
    <w:rsid w:val="0062425A"/>
    <w:rsid w:val="006246A4"/>
    <w:rsid w:val="00624C57"/>
    <w:rsid w:val="00626387"/>
    <w:rsid w:val="00631986"/>
    <w:rsid w:val="00631B42"/>
    <w:rsid w:val="00632523"/>
    <w:rsid w:val="00633CB0"/>
    <w:rsid w:val="00633EB8"/>
    <w:rsid w:val="00635D1F"/>
    <w:rsid w:val="00635E21"/>
    <w:rsid w:val="00635EC1"/>
    <w:rsid w:val="00640F63"/>
    <w:rsid w:val="006431C9"/>
    <w:rsid w:val="00643A9F"/>
    <w:rsid w:val="00644D28"/>
    <w:rsid w:val="00644E05"/>
    <w:rsid w:val="00645475"/>
    <w:rsid w:val="006461E0"/>
    <w:rsid w:val="00647D91"/>
    <w:rsid w:val="006501B3"/>
    <w:rsid w:val="00650F8B"/>
    <w:rsid w:val="0065188A"/>
    <w:rsid w:val="00651EB4"/>
    <w:rsid w:val="0065348C"/>
    <w:rsid w:val="006541CD"/>
    <w:rsid w:val="00654C86"/>
    <w:rsid w:val="0065561F"/>
    <w:rsid w:val="00660E41"/>
    <w:rsid w:val="00660E89"/>
    <w:rsid w:val="00661BA3"/>
    <w:rsid w:val="00663125"/>
    <w:rsid w:val="00663492"/>
    <w:rsid w:val="006639E5"/>
    <w:rsid w:val="00663EC5"/>
    <w:rsid w:val="00665659"/>
    <w:rsid w:val="00666E4A"/>
    <w:rsid w:val="00671603"/>
    <w:rsid w:val="00671A58"/>
    <w:rsid w:val="00671D48"/>
    <w:rsid w:val="00672865"/>
    <w:rsid w:val="00672EA0"/>
    <w:rsid w:val="00673B54"/>
    <w:rsid w:val="00673C99"/>
    <w:rsid w:val="0067425B"/>
    <w:rsid w:val="00674FAC"/>
    <w:rsid w:val="00675929"/>
    <w:rsid w:val="00677383"/>
    <w:rsid w:val="006777F3"/>
    <w:rsid w:val="006805BD"/>
    <w:rsid w:val="00683161"/>
    <w:rsid w:val="00683522"/>
    <w:rsid w:val="006839D5"/>
    <w:rsid w:val="00684808"/>
    <w:rsid w:val="006857C2"/>
    <w:rsid w:val="006862B3"/>
    <w:rsid w:val="00686BDF"/>
    <w:rsid w:val="00687BF2"/>
    <w:rsid w:val="0069195F"/>
    <w:rsid w:val="00691E6A"/>
    <w:rsid w:val="0069224F"/>
    <w:rsid w:val="0069312B"/>
    <w:rsid w:val="00693D1C"/>
    <w:rsid w:val="0069450E"/>
    <w:rsid w:val="00694EC1"/>
    <w:rsid w:val="00695D3B"/>
    <w:rsid w:val="006963D6"/>
    <w:rsid w:val="006973BC"/>
    <w:rsid w:val="006A10AE"/>
    <w:rsid w:val="006A13AE"/>
    <w:rsid w:val="006A1A0E"/>
    <w:rsid w:val="006A1EA8"/>
    <w:rsid w:val="006A2A0B"/>
    <w:rsid w:val="006A4EF2"/>
    <w:rsid w:val="006A5060"/>
    <w:rsid w:val="006A72A7"/>
    <w:rsid w:val="006B1662"/>
    <w:rsid w:val="006B17A0"/>
    <w:rsid w:val="006B230F"/>
    <w:rsid w:val="006B5120"/>
    <w:rsid w:val="006B52E3"/>
    <w:rsid w:val="006B5D71"/>
    <w:rsid w:val="006B61F9"/>
    <w:rsid w:val="006B68F4"/>
    <w:rsid w:val="006C2DAE"/>
    <w:rsid w:val="006C3320"/>
    <w:rsid w:val="006C3533"/>
    <w:rsid w:val="006C3AF3"/>
    <w:rsid w:val="006C4B93"/>
    <w:rsid w:val="006C527C"/>
    <w:rsid w:val="006C5770"/>
    <w:rsid w:val="006C5CE6"/>
    <w:rsid w:val="006C644C"/>
    <w:rsid w:val="006C653D"/>
    <w:rsid w:val="006C66EF"/>
    <w:rsid w:val="006D09EB"/>
    <w:rsid w:val="006D286E"/>
    <w:rsid w:val="006D47CD"/>
    <w:rsid w:val="006D6BD0"/>
    <w:rsid w:val="006D6C4C"/>
    <w:rsid w:val="006E04E1"/>
    <w:rsid w:val="006E0B4E"/>
    <w:rsid w:val="006E0FBF"/>
    <w:rsid w:val="006E19BD"/>
    <w:rsid w:val="006E1F4E"/>
    <w:rsid w:val="006E3F4D"/>
    <w:rsid w:val="006E4B94"/>
    <w:rsid w:val="006E528A"/>
    <w:rsid w:val="006E5AFF"/>
    <w:rsid w:val="006E5B6E"/>
    <w:rsid w:val="006E623D"/>
    <w:rsid w:val="006E6ED0"/>
    <w:rsid w:val="006F029D"/>
    <w:rsid w:val="006F1758"/>
    <w:rsid w:val="006F240A"/>
    <w:rsid w:val="006F52F4"/>
    <w:rsid w:val="006F5710"/>
    <w:rsid w:val="006F70EF"/>
    <w:rsid w:val="006F733B"/>
    <w:rsid w:val="006F7A92"/>
    <w:rsid w:val="007007F4"/>
    <w:rsid w:val="007019D5"/>
    <w:rsid w:val="00701DBE"/>
    <w:rsid w:val="00703D86"/>
    <w:rsid w:val="00706316"/>
    <w:rsid w:val="007065D1"/>
    <w:rsid w:val="007071FA"/>
    <w:rsid w:val="0070747F"/>
    <w:rsid w:val="007076D4"/>
    <w:rsid w:val="007077BC"/>
    <w:rsid w:val="00707B5F"/>
    <w:rsid w:val="00707EA3"/>
    <w:rsid w:val="00710049"/>
    <w:rsid w:val="007102C6"/>
    <w:rsid w:val="0071095F"/>
    <w:rsid w:val="00710ADD"/>
    <w:rsid w:val="00712C2C"/>
    <w:rsid w:val="0071379F"/>
    <w:rsid w:val="0071566A"/>
    <w:rsid w:val="007156AD"/>
    <w:rsid w:val="00716B58"/>
    <w:rsid w:val="007173FC"/>
    <w:rsid w:val="0072049F"/>
    <w:rsid w:val="00721B5F"/>
    <w:rsid w:val="00722A47"/>
    <w:rsid w:val="00725225"/>
    <w:rsid w:val="0072765A"/>
    <w:rsid w:val="00727B04"/>
    <w:rsid w:val="0073094F"/>
    <w:rsid w:val="00730F13"/>
    <w:rsid w:val="0073114A"/>
    <w:rsid w:val="00732AC4"/>
    <w:rsid w:val="00733638"/>
    <w:rsid w:val="00735054"/>
    <w:rsid w:val="00735F33"/>
    <w:rsid w:val="0073729F"/>
    <w:rsid w:val="00742724"/>
    <w:rsid w:val="0074356C"/>
    <w:rsid w:val="007448FC"/>
    <w:rsid w:val="00745A27"/>
    <w:rsid w:val="00745E15"/>
    <w:rsid w:val="00746733"/>
    <w:rsid w:val="00746C95"/>
    <w:rsid w:val="007473DD"/>
    <w:rsid w:val="00751325"/>
    <w:rsid w:val="007547C9"/>
    <w:rsid w:val="00754815"/>
    <w:rsid w:val="0075609B"/>
    <w:rsid w:val="00756BF3"/>
    <w:rsid w:val="007577AC"/>
    <w:rsid w:val="0076091E"/>
    <w:rsid w:val="00760D05"/>
    <w:rsid w:val="00761A46"/>
    <w:rsid w:val="007632EF"/>
    <w:rsid w:val="00763F08"/>
    <w:rsid w:val="00765029"/>
    <w:rsid w:val="00767B80"/>
    <w:rsid w:val="007701E2"/>
    <w:rsid w:val="00770681"/>
    <w:rsid w:val="00770EAB"/>
    <w:rsid w:val="0077115A"/>
    <w:rsid w:val="00772BBA"/>
    <w:rsid w:val="007731F0"/>
    <w:rsid w:val="0077323D"/>
    <w:rsid w:val="00774D1D"/>
    <w:rsid w:val="007754DB"/>
    <w:rsid w:val="00776252"/>
    <w:rsid w:val="00780CDA"/>
    <w:rsid w:val="00781946"/>
    <w:rsid w:val="00781C97"/>
    <w:rsid w:val="0078219E"/>
    <w:rsid w:val="007833B4"/>
    <w:rsid w:val="00783A98"/>
    <w:rsid w:val="00785661"/>
    <w:rsid w:val="00786115"/>
    <w:rsid w:val="0078684B"/>
    <w:rsid w:val="00787714"/>
    <w:rsid w:val="0079046D"/>
    <w:rsid w:val="00790B1A"/>
    <w:rsid w:val="00791B6F"/>
    <w:rsid w:val="00793461"/>
    <w:rsid w:val="00794389"/>
    <w:rsid w:val="0079560B"/>
    <w:rsid w:val="00796DFF"/>
    <w:rsid w:val="007A033A"/>
    <w:rsid w:val="007A1821"/>
    <w:rsid w:val="007A2402"/>
    <w:rsid w:val="007A28B2"/>
    <w:rsid w:val="007A301F"/>
    <w:rsid w:val="007A3F27"/>
    <w:rsid w:val="007A4317"/>
    <w:rsid w:val="007A4F80"/>
    <w:rsid w:val="007A61E0"/>
    <w:rsid w:val="007A6C09"/>
    <w:rsid w:val="007A785B"/>
    <w:rsid w:val="007B0602"/>
    <w:rsid w:val="007B0F35"/>
    <w:rsid w:val="007B1C2E"/>
    <w:rsid w:val="007B2BA1"/>
    <w:rsid w:val="007B34A3"/>
    <w:rsid w:val="007B3DDB"/>
    <w:rsid w:val="007B5845"/>
    <w:rsid w:val="007B642D"/>
    <w:rsid w:val="007C1501"/>
    <w:rsid w:val="007C1D5F"/>
    <w:rsid w:val="007C213A"/>
    <w:rsid w:val="007C3F4F"/>
    <w:rsid w:val="007C4000"/>
    <w:rsid w:val="007C5D4D"/>
    <w:rsid w:val="007C7E3A"/>
    <w:rsid w:val="007D07BF"/>
    <w:rsid w:val="007D0A1B"/>
    <w:rsid w:val="007D2775"/>
    <w:rsid w:val="007D30F1"/>
    <w:rsid w:val="007D34AF"/>
    <w:rsid w:val="007D4149"/>
    <w:rsid w:val="007D41CD"/>
    <w:rsid w:val="007D74C1"/>
    <w:rsid w:val="007D77B2"/>
    <w:rsid w:val="007E046E"/>
    <w:rsid w:val="007E05C4"/>
    <w:rsid w:val="007E1B4D"/>
    <w:rsid w:val="007E202C"/>
    <w:rsid w:val="007E3C2B"/>
    <w:rsid w:val="007E62A2"/>
    <w:rsid w:val="007E6A8C"/>
    <w:rsid w:val="007F05F7"/>
    <w:rsid w:val="007F1031"/>
    <w:rsid w:val="007F12A0"/>
    <w:rsid w:val="007F1868"/>
    <w:rsid w:val="007F186C"/>
    <w:rsid w:val="007F19AA"/>
    <w:rsid w:val="007F28C7"/>
    <w:rsid w:val="007F29D0"/>
    <w:rsid w:val="007F2B74"/>
    <w:rsid w:val="007F4DF8"/>
    <w:rsid w:val="007F6EFE"/>
    <w:rsid w:val="007F78D4"/>
    <w:rsid w:val="007F7ABE"/>
    <w:rsid w:val="00800687"/>
    <w:rsid w:val="00800B1F"/>
    <w:rsid w:val="00800C88"/>
    <w:rsid w:val="00803294"/>
    <w:rsid w:val="008070E4"/>
    <w:rsid w:val="00807E33"/>
    <w:rsid w:val="008100FA"/>
    <w:rsid w:val="008104CC"/>
    <w:rsid w:val="00810B02"/>
    <w:rsid w:val="00811092"/>
    <w:rsid w:val="0081310B"/>
    <w:rsid w:val="00813593"/>
    <w:rsid w:val="00814052"/>
    <w:rsid w:val="008145CB"/>
    <w:rsid w:val="00814C21"/>
    <w:rsid w:val="00814D67"/>
    <w:rsid w:val="00816A85"/>
    <w:rsid w:val="00817771"/>
    <w:rsid w:val="00821A66"/>
    <w:rsid w:val="0082319D"/>
    <w:rsid w:val="0082363E"/>
    <w:rsid w:val="00823939"/>
    <w:rsid w:val="00824182"/>
    <w:rsid w:val="00824DF5"/>
    <w:rsid w:val="00825CBA"/>
    <w:rsid w:val="008262F2"/>
    <w:rsid w:val="008270C7"/>
    <w:rsid w:val="00832122"/>
    <w:rsid w:val="00832EDD"/>
    <w:rsid w:val="0083340E"/>
    <w:rsid w:val="008351C8"/>
    <w:rsid w:val="00836548"/>
    <w:rsid w:val="008405A0"/>
    <w:rsid w:val="00841DA7"/>
    <w:rsid w:val="00842BCD"/>
    <w:rsid w:val="00842F20"/>
    <w:rsid w:val="0084406E"/>
    <w:rsid w:val="00845877"/>
    <w:rsid w:val="00845936"/>
    <w:rsid w:val="00851AE4"/>
    <w:rsid w:val="0085279B"/>
    <w:rsid w:val="008534B1"/>
    <w:rsid w:val="00853501"/>
    <w:rsid w:val="00853D7D"/>
    <w:rsid w:val="00854B50"/>
    <w:rsid w:val="008555C8"/>
    <w:rsid w:val="00857472"/>
    <w:rsid w:val="00860DA7"/>
    <w:rsid w:val="00861AB0"/>
    <w:rsid w:val="00863315"/>
    <w:rsid w:val="008639BE"/>
    <w:rsid w:val="00863E19"/>
    <w:rsid w:val="008642A0"/>
    <w:rsid w:val="00865BB6"/>
    <w:rsid w:val="0086604D"/>
    <w:rsid w:val="008661D1"/>
    <w:rsid w:val="00870E50"/>
    <w:rsid w:val="0087274F"/>
    <w:rsid w:val="0087276F"/>
    <w:rsid w:val="008727E5"/>
    <w:rsid w:val="00875C3A"/>
    <w:rsid w:val="00876C43"/>
    <w:rsid w:val="0088023C"/>
    <w:rsid w:val="008819D5"/>
    <w:rsid w:val="00882EDF"/>
    <w:rsid w:val="00882EFE"/>
    <w:rsid w:val="0088516F"/>
    <w:rsid w:val="00887E92"/>
    <w:rsid w:val="008900CC"/>
    <w:rsid w:val="008905B2"/>
    <w:rsid w:val="00894BE8"/>
    <w:rsid w:val="008952E3"/>
    <w:rsid w:val="0089576A"/>
    <w:rsid w:val="00897D30"/>
    <w:rsid w:val="008A0E3B"/>
    <w:rsid w:val="008A387B"/>
    <w:rsid w:val="008A3ADE"/>
    <w:rsid w:val="008A447F"/>
    <w:rsid w:val="008A53B9"/>
    <w:rsid w:val="008A5B97"/>
    <w:rsid w:val="008B0438"/>
    <w:rsid w:val="008B0692"/>
    <w:rsid w:val="008B0A31"/>
    <w:rsid w:val="008B0A6B"/>
    <w:rsid w:val="008B5CB8"/>
    <w:rsid w:val="008B5D2B"/>
    <w:rsid w:val="008B607C"/>
    <w:rsid w:val="008B61EE"/>
    <w:rsid w:val="008B7715"/>
    <w:rsid w:val="008B7B01"/>
    <w:rsid w:val="008C1F3A"/>
    <w:rsid w:val="008C2FB6"/>
    <w:rsid w:val="008C3257"/>
    <w:rsid w:val="008C45EA"/>
    <w:rsid w:val="008C559B"/>
    <w:rsid w:val="008C5727"/>
    <w:rsid w:val="008C57FC"/>
    <w:rsid w:val="008C62CF"/>
    <w:rsid w:val="008C753E"/>
    <w:rsid w:val="008C7C5E"/>
    <w:rsid w:val="008D006B"/>
    <w:rsid w:val="008D0570"/>
    <w:rsid w:val="008D1147"/>
    <w:rsid w:val="008D1B0F"/>
    <w:rsid w:val="008D2B28"/>
    <w:rsid w:val="008D2EA0"/>
    <w:rsid w:val="008D3AB1"/>
    <w:rsid w:val="008D3FCE"/>
    <w:rsid w:val="008D44B4"/>
    <w:rsid w:val="008D58DF"/>
    <w:rsid w:val="008D698E"/>
    <w:rsid w:val="008E06C8"/>
    <w:rsid w:val="008E0B9A"/>
    <w:rsid w:val="008E13D1"/>
    <w:rsid w:val="008E24EE"/>
    <w:rsid w:val="008E2E69"/>
    <w:rsid w:val="008E4475"/>
    <w:rsid w:val="008E44FD"/>
    <w:rsid w:val="008E4996"/>
    <w:rsid w:val="008E4B0F"/>
    <w:rsid w:val="008E4E9A"/>
    <w:rsid w:val="008E50AF"/>
    <w:rsid w:val="008E53FA"/>
    <w:rsid w:val="008E5696"/>
    <w:rsid w:val="008E5870"/>
    <w:rsid w:val="008E5FB9"/>
    <w:rsid w:val="008E6A1C"/>
    <w:rsid w:val="008E742D"/>
    <w:rsid w:val="008E79E1"/>
    <w:rsid w:val="008E7BFF"/>
    <w:rsid w:val="008E7C72"/>
    <w:rsid w:val="008F01BC"/>
    <w:rsid w:val="008F06DB"/>
    <w:rsid w:val="008F0796"/>
    <w:rsid w:val="008F0F67"/>
    <w:rsid w:val="008F1813"/>
    <w:rsid w:val="008F24AE"/>
    <w:rsid w:val="008F25B0"/>
    <w:rsid w:val="008F38BB"/>
    <w:rsid w:val="008F3DED"/>
    <w:rsid w:val="008F4077"/>
    <w:rsid w:val="008F5AB3"/>
    <w:rsid w:val="008F6818"/>
    <w:rsid w:val="008F7061"/>
    <w:rsid w:val="00903EED"/>
    <w:rsid w:val="0090556A"/>
    <w:rsid w:val="00905E86"/>
    <w:rsid w:val="009110A4"/>
    <w:rsid w:val="009122DF"/>
    <w:rsid w:val="00912CE5"/>
    <w:rsid w:val="00912D51"/>
    <w:rsid w:val="00913545"/>
    <w:rsid w:val="0091416E"/>
    <w:rsid w:val="0091430F"/>
    <w:rsid w:val="00914C5B"/>
    <w:rsid w:val="00915B07"/>
    <w:rsid w:val="00916660"/>
    <w:rsid w:val="00917C22"/>
    <w:rsid w:val="00917ECC"/>
    <w:rsid w:val="00920344"/>
    <w:rsid w:val="00921C2C"/>
    <w:rsid w:val="009240CD"/>
    <w:rsid w:val="00924718"/>
    <w:rsid w:val="00926698"/>
    <w:rsid w:val="00926A8B"/>
    <w:rsid w:val="0092782A"/>
    <w:rsid w:val="00927C02"/>
    <w:rsid w:val="009301B9"/>
    <w:rsid w:val="009319E9"/>
    <w:rsid w:val="0093222E"/>
    <w:rsid w:val="00932476"/>
    <w:rsid w:val="00933014"/>
    <w:rsid w:val="009332E2"/>
    <w:rsid w:val="009345E3"/>
    <w:rsid w:val="00934CA8"/>
    <w:rsid w:val="00937AF6"/>
    <w:rsid w:val="009407A4"/>
    <w:rsid w:val="00940CDA"/>
    <w:rsid w:val="00942F9D"/>
    <w:rsid w:val="00943208"/>
    <w:rsid w:val="00944632"/>
    <w:rsid w:val="009452EB"/>
    <w:rsid w:val="009460DE"/>
    <w:rsid w:val="00946A87"/>
    <w:rsid w:val="00946D0B"/>
    <w:rsid w:val="0095124C"/>
    <w:rsid w:val="00951430"/>
    <w:rsid w:val="00951E44"/>
    <w:rsid w:val="00953A04"/>
    <w:rsid w:val="00953A7A"/>
    <w:rsid w:val="009544F0"/>
    <w:rsid w:val="00954F17"/>
    <w:rsid w:val="00955922"/>
    <w:rsid w:val="00957E7A"/>
    <w:rsid w:val="00961530"/>
    <w:rsid w:val="00962770"/>
    <w:rsid w:val="00962932"/>
    <w:rsid w:val="00962959"/>
    <w:rsid w:val="00962BE2"/>
    <w:rsid w:val="00964252"/>
    <w:rsid w:val="00964BFE"/>
    <w:rsid w:val="0096637E"/>
    <w:rsid w:val="009678F1"/>
    <w:rsid w:val="009679B3"/>
    <w:rsid w:val="009705BA"/>
    <w:rsid w:val="00970CA0"/>
    <w:rsid w:val="00970D75"/>
    <w:rsid w:val="00970F31"/>
    <w:rsid w:val="009712C6"/>
    <w:rsid w:val="00971541"/>
    <w:rsid w:val="00971FA9"/>
    <w:rsid w:val="0097224B"/>
    <w:rsid w:val="00972609"/>
    <w:rsid w:val="00973672"/>
    <w:rsid w:val="0097370B"/>
    <w:rsid w:val="009768D1"/>
    <w:rsid w:val="00976CFE"/>
    <w:rsid w:val="00977C8B"/>
    <w:rsid w:val="00977DE4"/>
    <w:rsid w:val="009838B0"/>
    <w:rsid w:val="00984146"/>
    <w:rsid w:val="0098421B"/>
    <w:rsid w:val="00984C97"/>
    <w:rsid w:val="00984EE2"/>
    <w:rsid w:val="00985E49"/>
    <w:rsid w:val="009863CC"/>
    <w:rsid w:val="0099050C"/>
    <w:rsid w:val="009914F7"/>
    <w:rsid w:val="00992C33"/>
    <w:rsid w:val="00992EA8"/>
    <w:rsid w:val="0099324E"/>
    <w:rsid w:val="00993F62"/>
    <w:rsid w:val="00994DC0"/>
    <w:rsid w:val="009970C1"/>
    <w:rsid w:val="009A2E87"/>
    <w:rsid w:val="009A51CB"/>
    <w:rsid w:val="009A528C"/>
    <w:rsid w:val="009A5BE2"/>
    <w:rsid w:val="009B115F"/>
    <w:rsid w:val="009B1D5E"/>
    <w:rsid w:val="009B2584"/>
    <w:rsid w:val="009B302B"/>
    <w:rsid w:val="009B3F55"/>
    <w:rsid w:val="009B45C5"/>
    <w:rsid w:val="009B4E0A"/>
    <w:rsid w:val="009B5D7C"/>
    <w:rsid w:val="009C0B17"/>
    <w:rsid w:val="009C2BA2"/>
    <w:rsid w:val="009C3778"/>
    <w:rsid w:val="009C456E"/>
    <w:rsid w:val="009C566F"/>
    <w:rsid w:val="009C57AE"/>
    <w:rsid w:val="009D04DE"/>
    <w:rsid w:val="009D071C"/>
    <w:rsid w:val="009D118C"/>
    <w:rsid w:val="009D13C6"/>
    <w:rsid w:val="009D1747"/>
    <w:rsid w:val="009D21AE"/>
    <w:rsid w:val="009D2B32"/>
    <w:rsid w:val="009D3347"/>
    <w:rsid w:val="009D49C1"/>
    <w:rsid w:val="009D787F"/>
    <w:rsid w:val="009E0A53"/>
    <w:rsid w:val="009E1F7B"/>
    <w:rsid w:val="009E259F"/>
    <w:rsid w:val="009E2AA1"/>
    <w:rsid w:val="009E2FD3"/>
    <w:rsid w:val="009E366E"/>
    <w:rsid w:val="009E6872"/>
    <w:rsid w:val="009F05B5"/>
    <w:rsid w:val="009F0AC6"/>
    <w:rsid w:val="009F18CD"/>
    <w:rsid w:val="009F2C8E"/>
    <w:rsid w:val="009F3348"/>
    <w:rsid w:val="009F3B61"/>
    <w:rsid w:val="009F4773"/>
    <w:rsid w:val="009F527C"/>
    <w:rsid w:val="009F5668"/>
    <w:rsid w:val="009F5EB7"/>
    <w:rsid w:val="009F6F9D"/>
    <w:rsid w:val="00A0070F"/>
    <w:rsid w:val="00A01040"/>
    <w:rsid w:val="00A018F9"/>
    <w:rsid w:val="00A01CAA"/>
    <w:rsid w:val="00A02120"/>
    <w:rsid w:val="00A024BB"/>
    <w:rsid w:val="00A02851"/>
    <w:rsid w:val="00A0329E"/>
    <w:rsid w:val="00A06B9F"/>
    <w:rsid w:val="00A07906"/>
    <w:rsid w:val="00A136C2"/>
    <w:rsid w:val="00A142F3"/>
    <w:rsid w:val="00A146D8"/>
    <w:rsid w:val="00A15428"/>
    <w:rsid w:val="00A15810"/>
    <w:rsid w:val="00A17A3F"/>
    <w:rsid w:val="00A17A66"/>
    <w:rsid w:val="00A20189"/>
    <w:rsid w:val="00A21055"/>
    <w:rsid w:val="00A232C4"/>
    <w:rsid w:val="00A2336A"/>
    <w:rsid w:val="00A2360F"/>
    <w:rsid w:val="00A24659"/>
    <w:rsid w:val="00A2605B"/>
    <w:rsid w:val="00A2609C"/>
    <w:rsid w:val="00A26BC6"/>
    <w:rsid w:val="00A27BB7"/>
    <w:rsid w:val="00A3167B"/>
    <w:rsid w:val="00A3230D"/>
    <w:rsid w:val="00A33DD7"/>
    <w:rsid w:val="00A3528F"/>
    <w:rsid w:val="00A3547E"/>
    <w:rsid w:val="00A366B3"/>
    <w:rsid w:val="00A37835"/>
    <w:rsid w:val="00A400FB"/>
    <w:rsid w:val="00A4125A"/>
    <w:rsid w:val="00A427B5"/>
    <w:rsid w:val="00A42EA8"/>
    <w:rsid w:val="00A4315E"/>
    <w:rsid w:val="00A451A8"/>
    <w:rsid w:val="00A45285"/>
    <w:rsid w:val="00A502EB"/>
    <w:rsid w:val="00A51342"/>
    <w:rsid w:val="00A5167F"/>
    <w:rsid w:val="00A51D5B"/>
    <w:rsid w:val="00A51EDD"/>
    <w:rsid w:val="00A526F0"/>
    <w:rsid w:val="00A55EBC"/>
    <w:rsid w:val="00A56249"/>
    <w:rsid w:val="00A5690D"/>
    <w:rsid w:val="00A56E6C"/>
    <w:rsid w:val="00A61661"/>
    <w:rsid w:val="00A64F07"/>
    <w:rsid w:val="00A66B63"/>
    <w:rsid w:val="00A66EA8"/>
    <w:rsid w:val="00A70719"/>
    <w:rsid w:val="00A70A3B"/>
    <w:rsid w:val="00A714AE"/>
    <w:rsid w:val="00A721D7"/>
    <w:rsid w:val="00A72B1E"/>
    <w:rsid w:val="00A73693"/>
    <w:rsid w:val="00A74B40"/>
    <w:rsid w:val="00A74D42"/>
    <w:rsid w:val="00A764F9"/>
    <w:rsid w:val="00A800BF"/>
    <w:rsid w:val="00A823F9"/>
    <w:rsid w:val="00A82810"/>
    <w:rsid w:val="00A83A5B"/>
    <w:rsid w:val="00A85EFA"/>
    <w:rsid w:val="00A8673A"/>
    <w:rsid w:val="00A87944"/>
    <w:rsid w:val="00A87EED"/>
    <w:rsid w:val="00A912BF"/>
    <w:rsid w:val="00A92640"/>
    <w:rsid w:val="00A93AAD"/>
    <w:rsid w:val="00A93F44"/>
    <w:rsid w:val="00A951EE"/>
    <w:rsid w:val="00A9553B"/>
    <w:rsid w:val="00A95B85"/>
    <w:rsid w:val="00A978E5"/>
    <w:rsid w:val="00AA032F"/>
    <w:rsid w:val="00AA0559"/>
    <w:rsid w:val="00AA1716"/>
    <w:rsid w:val="00AA1F8F"/>
    <w:rsid w:val="00AA26B1"/>
    <w:rsid w:val="00AA3763"/>
    <w:rsid w:val="00AA4A8A"/>
    <w:rsid w:val="00AA4FC6"/>
    <w:rsid w:val="00AA54FA"/>
    <w:rsid w:val="00AA643A"/>
    <w:rsid w:val="00AB1AD7"/>
    <w:rsid w:val="00AB2D5F"/>
    <w:rsid w:val="00AB64F5"/>
    <w:rsid w:val="00AB75A4"/>
    <w:rsid w:val="00AB7A56"/>
    <w:rsid w:val="00AB7F58"/>
    <w:rsid w:val="00AC1176"/>
    <w:rsid w:val="00AC1543"/>
    <w:rsid w:val="00AC2A9E"/>
    <w:rsid w:val="00AC2D08"/>
    <w:rsid w:val="00AC3E3B"/>
    <w:rsid w:val="00AC5CE0"/>
    <w:rsid w:val="00AC759F"/>
    <w:rsid w:val="00AD018C"/>
    <w:rsid w:val="00AD02DD"/>
    <w:rsid w:val="00AD12E6"/>
    <w:rsid w:val="00AD15F5"/>
    <w:rsid w:val="00AD3B7F"/>
    <w:rsid w:val="00AD3C62"/>
    <w:rsid w:val="00AD64DB"/>
    <w:rsid w:val="00AD6C3D"/>
    <w:rsid w:val="00AE2E87"/>
    <w:rsid w:val="00AE37D7"/>
    <w:rsid w:val="00AE5CFF"/>
    <w:rsid w:val="00AE61DC"/>
    <w:rsid w:val="00AE73AE"/>
    <w:rsid w:val="00AF121A"/>
    <w:rsid w:val="00AF2063"/>
    <w:rsid w:val="00AF344C"/>
    <w:rsid w:val="00AF36AA"/>
    <w:rsid w:val="00AF4E7D"/>
    <w:rsid w:val="00AF53FE"/>
    <w:rsid w:val="00AF5624"/>
    <w:rsid w:val="00AF5F9D"/>
    <w:rsid w:val="00AF6CFE"/>
    <w:rsid w:val="00AF6EA7"/>
    <w:rsid w:val="00AF74CB"/>
    <w:rsid w:val="00AF7642"/>
    <w:rsid w:val="00AF7823"/>
    <w:rsid w:val="00B00143"/>
    <w:rsid w:val="00B004D5"/>
    <w:rsid w:val="00B005EF"/>
    <w:rsid w:val="00B01071"/>
    <w:rsid w:val="00B02189"/>
    <w:rsid w:val="00B03C1D"/>
    <w:rsid w:val="00B03CAF"/>
    <w:rsid w:val="00B04595"/>
    <w:rsid w:val="00B04C0A"/>
    <w:rsid w:val="00B04CA8"/>
    <w:rsid w:val="00B06E2A"/>
    <w:rsid w:val="00B07114"/>
    <w:rsid w:val="00B10B60"/>
    <w:rsid w:val="00B11ACC"/>
    <w:rsid w:val="00B11B6D"/>
    <w:rsid w:val="00B13642"/>
    <w:rsid w:val="00B228CE"/>
    <w:rsid w:val="00B239CE"/>
    <w:rsid w:val="00B25562"/>
    <w:rsid w:val="00B27278"/>
    <w:rsid w:val="00B274E7"/>
    <w:rsid w:val="00B30EF5"/>
    <w:rsid w:val="00B31C41"/>
    <w:rsid w:val="00B333E6"/>
    <w:rsid w:val="00B3396C"/>
    <w:rsid w:val="00B3449C"/>
    <w:rsid w:val="00B34A54"/>
    <w:rsid w:val="00B34FFC"/>
    <w:rsid w:val="00B357CE"/>
    <w:rsid w:val="00B3586F"/>
    <w:rsid w:val="00B359B8"/>
    <w:rsid w:val="00B366D8"/>
    <w:rsid w:val="00B36E09"/>
    <w:rsid w:val="00B4112C"/>
    <w:rsid w:val="00B4113D"/>
    <w:rsid w:val="00B41AF2"/>
    <w:rsid w:val="00B420F9"/>
    <w:rsid w:val="00B42446"/>
    <w:rsid w:val="00B429DD"/>
    <w:rsid w:val="00B4330D"/>
    <w:rsid w:val="00B45303"/>
    <w:rsid w:val="00B459FF"/>
    <w:rsid w:val="00B45CDE"/>
    <w:rsid w:val="00B46C96"/>
    <w:rsid w:val="00B471CB"/>
    <w:rsid w:val="00B5066C"/>
    <w:rsid w:val="00B5151F"/>
    <w:rsid w:val="00B53EF2"/>
    <w:rsid w:val="00B546B1"/>
    <w:rsid w:val="00B54CFC"/>
    <w:rsid w:val="00B55C45"/>
    <w:rsid w:val="00B5740F"/>
    <w:rsid w:val="00B57657"/>
    <w:rsid w:val="00B5776E"/>
    <w:rsid w:val="00B627A7"/>
    <w:rsid w:val="00B627FB"/>
    <w:rsid w:val="00B62B04"/>
    <w:rsid w:val="00B63510"/>
    <w:rsid w:val="00B640CB"/>
    <w:rsid w:val="00B67C93"/>
    <w:rsid w:val="00B705F2"/>
    <w:rsid w:val="00B7103B"/>
    <w:rsid w:val="00B71593"/>
    <w:rsid w:val="00B71F36"/>
    <w:rsid w:val="00B7264F"/>
    <w:rsid w:val="00B72B84"/>
    <w:rsid w:val="00B735D8"/>
    <w:rsid w:val="00B755EC"/>
    <w:rsid w:val="00B76B0B"/>
    <w:rsid w:val="00B772B8"/>
    <w:rsid w:val="00B77BF1"/>
    <w:rsid w:val="00B80BCC"/>
    <w:rsid w:val="00B812DB"/>
    <w:rsid w:val="00B8174C"/>
    <w:rsid w:val="00B83D24"/>
    <w:rsid w:val="00B84C3D"/>
    <w:rsid w:val="00B875FB"/>
    <w:rsid w:val="00B876ED"/>
    <w:rsid w:val="00B90488"/>
    <w:rsid w:val="00B905F2"/>
    <w:rsid w:val="00B91EC5"/>
    <w:rsid w:val="00B92CB1"/>
    <w:rsid w:val="00B92CF2"/>
    <w:rsid w:val="00B93E1C"/>
    <w:rsid w:val="00B93E55"/>
    <w:rsid w:val="00B94547"/>
    <w:rsid w:val="00B96365"/>
    <w:rsid w:val="00B96D10"/>
    <w:rsid w:val="00BA088A"/>
    <w:rsid w:val="00BA2F39"/>
    <w:rsid w:val="00BA349B"/>
    <w:rsid w:val="00BA48E9"/>
    <w:rsid w:val="00BA58F7"/>
    <w:rsid w:val="00BA6635"/>
    <w:rsid w:val="00BB0512"/>
    <w:rsid w:val="00BB0D15"/>
    <w:rsid w:val="00BB22BC"/>
    <w:rsid w:val="00BB25A8"/>
    <w:rsid w:val="00BB2ECF"/>
    <w:rsid w:val="00BB3679"/>
    <w:rsid w:val="00BB5B6D"/>
    <w:rsid w:val="00BB629A"/>
    <w:rsid w:val="00BB6630"/>
    <w:rsid w:val="00BC0E02"/>
    <w:rsid w:val="00BC1082"/>
    <w:rsid w:val="00BC1800"/>
    <w:rsid w:val="00BC2220"/>
    <w:rsid w:val="00BC294D"/>
    <w:rsid w:val="00BC30E4"/>
    <w:rsid w:val="00BC3AAA"/>
    <w:rsid w:val="00BC427B"/>
    <w:rsid w:val="00BC479A"/>
    <w:rsid w:val="00BC4A81"/>
    <w:rsid w:val="00BC64AA"/>
    <w:rsid w:val="00BD1135"/>
    <w:rsid w:val="00BD246F"/>
    <w:rsid w:val="00BD271A"/>
    <w:rsid w:val="00BD38AB"/>
    <w:rsid w:val="00BD3BF4"/>
    <w:rsid w:val="00BD44EE"/>
    <w:rsid w:val="00BD478F"/>
    <w:rsid w:val="00BD4A06"/>
    <w:rsid w:val="00BD4F61"/>
    <w:rsid w:val="00BD785A"/>
    <w:rsid w:val="00BE0381"/>
    <w:rsid w:val="00BE05A9"/>
    <w:rsid w:val="00BE10FF"/>
    <w:rsid w:val="00BE1483"/>
    <w:rsid w:val="00BE2895"/>
    <w:rsid w:val="00BE34D6"/>
    <w:rsid w:val="00BE36D1"/>
    <w:rsid w:val="00BE3966"/>
    <w:rsid w:val="00BE3E75"/>
    <w:rsid w:val="00BE525D"/>
    <w:rsid w:val="00BE5290"/>
    <w:rsid w:val="00BE5F38"/>
    <w:rsid w:val="00BE6085"/>
    <w:rsid w:val="00BE6CF9"/>
    <w:rsid w:val="00BE703F"/>
    <w:rsid w:val="00BF41EB"/>
    <w:rsid w:val="00BF4D4C"/>
    <w:rsid w:val="00BF7141"/>
    <w:rsid w:val="00C0053F"/>
    <w:rsid w:val="00C03AA3"/>
    <w:rsid w:val="00C0434A"/>
    <w:rsid w:val="00C049FA"/>
    <w:rsid w:val="00C04F7F"/>
    <w:rsid w:val="00C05A81"/>
    <w:rsid w:val="00C05C26"/>
    <w:rsid w:val="00C065F6"/>
    <w:rsid w:val="00C06931"/>
    <w:rsid w:val="00C06F9C"/>
    <w:rsid w:val="00C10178"/>
    <w:rsid w:val="00C102F1"/>
    <w:rsid w:val="00C119B3"/>
    <w:rsid w:val="00C120D3"/>
    <w:rsid w:val="00C12D5B"/>
    <w:rsid w:val="00C139FC"/>
    <w:rsid w:val="00C15E64"/>
    <w:rsid w:val="00C16158"/>
    <w:rsid w:val="00C17D61"/>
    <w:rsid w:val="00C2103A"/>
    <w:rsid w:val="00C21875"/>
    <w:rsid w:val="00C21D8D"/>
    <w:rsid w:val="00C2253B"/>
    <w:rsid w:val="00C22593"/>
    <w:rsid w:val="00C22844"/>
    <w:rsid w:val="00C23CD0"/>
    <w:rsid w:val="00C24CA6"/>
    <w:rsid w:val="00C25967"/>
    <w:rsid w:val="00C261B8"/>
    <w:rsid w:val="00C31765"/>
    <w:rsid w:val="00C31C1A"/>
    <w:rsid w:val="00C32613"/>
    <w:rsid w:val="00C3284E"/>
    <w:rsid w:val="00C329EC"/>
    <w:rsid w:val="00C32AAA"/>
    <w:rsid w:val="00C340EA"/>
    <w:rsid w:val="00C3563E"/>
    <w:rsid w:val="00C36AC7"/>
    <w:rsid w:val="00C37260"/>
    <w:rsid w:val="00C37E20"/>
    <w:rsid w:val="00C41A59"/>
    <w:rsid w:val="00C41D3B"/>
    <w:rsid w:val="00C43CCC"/>
    <w:rsid w:val="00C4400B"/>
    <w:rsid w:val="00C4461B"/>
    <w:rsid w:val="00C46EBC"/>
    <w:rsid w:val="00C5334B"/>
    <w:rsid w:val="00C5345E"/>
    <w:rsid w:val="00C53627"/>
    <w:rsid w:val="00C5383C"/>
    <w:rsid w:val="00C54008"/>
    <w:rsid w:val="00C546EE"/>
    <w:rsid w:val="00C559AB"/>
    <w:rsid w:val="00C562D0"/>
    <w:rsid w:val="00C570EB"/>
    <w:rsid w:val="00C60066"/>
    <w:rsid w:val="00C60590"/>
    <w:rsid w:val="00C61A96"/>
    <w:rsid w:val="00C61C88"/>
    <w:rsid w:val="00C62641"/>
    <w:rsid w:val="00C6303A"/>
    <w:rsid w:val="00C647AE"/>
    <w:rsid w:val="00C64DEE"/>
    <w:rsid w:val="00C65307"/>
    <w:rsid w:val="00C65D67"/>
    <w:rsid w:val="00C671E4"/>
    <w:rsid w:val="00C70BEF"/>
    <w:rsid w:val="00C71024"/>
    <w:rsid w:val="00C71D67"/>
    <w:rsid w:val="00C72DCD"/>
    <w:rsid w:val="00C73E51"/>
    <w:rsid w:val="00C7433F"/>
    <w:rsid w:val="00C76627"/>
    <w:rsid w:val="00C774BB"/>
    <w:rsid w:val="00C82BC7"/>
    <w:rsid w:val="00C832E8"/>
    <w:rsid w:val="00C83741"/>
    <w:rsid w:val="00C83C87"/>
    <w:rsid w:val="00C8467F"/>
    <w:rsid w:val="00C8567D"/>
    <w:rsid w:val="00C85AB8"/>
    <w:rsid w:val="00C85F9D"/>
    <w:rsid w:val="00C86071"/>
    <w:rsid w:val="00C867F6"/>
    <w:rsid w:val="00C939A6"/>
    <w:rsid w:val="00C93CE0"/>
    <w:rsid w:val="00C94CC5"/>
    <w:rsid w:val="00C966BB"/>
    <w:rsid w:val="00C967DC"/>
    <w:rsid w:val="00C97F5E"/>
    <w:rsid w:val="00CA1E83"/>
    <w:rsid w:val="00CA218E"/>
    <w:rsid w:val="00CA23F0"/>
    <w:rsid w:val="00CA2406"/>
    <w:rsid w:val="00CA339C"/>
    <w:rsid w:val="00CA3830"/>
    <w:rsid w:val="00CA6B47"/>
    <w:rsid w:val="00CA7D35"/>
    <w:rsid w:val="00CB0A12"/>
    <w:rsid w:val="00CB3230"/>
    <w:rsid w:val="00CB371B"/>
    <w:rsid w:val="00CB381D"/>
    <w:rsid w:val="00CB4B50"/>
    <w:rsid w:val="00CB585A"/>
    <w:rsid w:val="00CB62D0"/>
    <w:rsid w:val="00CB693B"/>
    <w:rsid w:val="00CB74B0"/>
    <w:rsid w:val="00CB7D4E"/>
    <w:rsid w:val="00CC0119"/>
    <w:rsid w:val="00CC077C"/>
    <w:rsid w:val="00CC0C85"/>
    <w:rsid w:val="00CC1213"/>
    <w:rsid w:val="00CC15E4"/>
    <w:rsid w:val="00CC29F9"/>
    <w:rsid w:val="00CC304F"/>
    <w:rsid w:val="00CC414A"/>
    <w:rsid w:val="00CC642E"/>
    <w:rsid w:val="00CC6C28"/>
    <w:rsid w:val="00CC6C6F"/>
    <w:rsid w:val="00CC7549"/>
    <w:rsid w:val="00CC7CA8"/>
    <w:rsid w:val="00CD0B51"/>
    <w:rsid w:val="00CD15FF"/>
    <w:rsid w:val="00CD2977"/>
    <w:rsid w:val="00CD2A1B"/>
    <w:rsid w:val="00CD4F29"/>
    <w:rsid w:val="00CD5F6D"/>
    <w:rsid w:val="00CD7176"/>
    <w:rsid w:val="00CD72B1"/>
    <w:rsid w:val="00CD767A"/>
    <w:rsid w:val="00CD7AC2"/>
    <w:rsid w:val="00CE012D"/>
    <w:rsid w:val="00CE0BFD"/>
    <w:rsid w:val="00CE0E65"/>
    <w:rsid w:val="00CE13A9"/>
    <w:rsid w:val="00CE2CDA"/>
    <w:rsid w:val="00CE2F58"/>
    <w:rsid w:val="00CE340C"/>
    <w:rsid w:val="00CE3846"/>
    <w:rsid w:val="00CE39A3"/>
    <w:rsid w:val="00CE3AAB"/>
    <w:rsid w:val="00CE6498"/>
    <w:rsid w:val="00CE6C65"/>
    <w:rsid w:val="00CF0D94"/>
    <w:rsid w:val="00CF2E57"/>
    <w:rsid w:val="00CF5828"/>
    <w:rsid w:val="00CF5F50"/>
    <w:rsid w:val="00CF7068"/>
    <w:rsid w:val="00CF70B5"/>
    <w:rsid w:val="00D015BC"/>
    <w:rsid w:val="00D016EF"/>
    <w:rsid w:val="00D01D7A"/>
    <w:rsid w:val="00D04BA0"/>
    <w:rsid w:val="00D05115"/>
    <w:rsid w:val="00D1184F"/>
    <w:rsid w:val="00D13042"/>
    <w:rsid w:val="00D13330"/>
    <w:rsid w:val="00D13C1F"/>
    <w:rsid w:val="00D14B70"/>
    <w:rsid w:val="00D15656"/>
    <w:rsid w:val="00D159D0"/>
    <w:rsid w:val="00D1736F"/>
    <w:rsid w:val="00D2062D"/>
    <w:rsid w:val="00D2223F"/>
    <w:rsid w:val="00D2270E"/>
    <w:rsid w:val="00D22B2B"/>
    <w:rsid w:val="00D23C8D"/>
    <w:rsid w:val="00D24A47"/>
    <w:rsid w:val="00D24C96"/>
    <w:rsid w:val="00D2510F"/>
    <w:rsid w:val="00D27B88"/>
    <w:rsid w:val="00D27FCE"/>
    <w:rsid w:val="00D30AB4"/>
    <w:rsid w:val="00D30DC8"/>
    <w:rsid w:val="00D30EC7"/>
    <w:rsid w:val="00D326DE"/>
    <w:rsid w:val="00D327DA"/>
    <w:rsid w:val="00D33595"/>
    <w:rsid w:val="00D369D7"/>
    <w:rsid w:val="00D36E39"/>
    <w:rsid w:val="00D378A5"/>
    <w:rsid w:val="00D41263"/>
    <w:rsid w:val="00D4161A"/>
    <w:rsid w:val="00D42926"/>
    <w:rsid w:val="00D42E4B"/>
    <w:rsid w:val="00D44266"/>
    <w:rsid w:val="00D44609"/>
    <w:rsid w:val="00D4561B"/>
    <w:rsid w:val="00D45B2E"/>
    <w:rsid w:val="00D474B4"/>
    <w:rsid w:val="00D50BFD"/>
    <w:rsid w:val="00D51645"/>
    <w:rsid w:val="00D52466"/>
    <w:rsid w:val="00D52A50"/>
    <w:rsid w:val="00D52BBD"/>
    <w:rsid w:val="00D5315C"/>
    <w:rsid w:val="00D54008"/>
    <w:rsid w:val="00D55485"/>
    <w:rsid w:val="00D560CE"/>
    <w:rsid w:val="00D57131"/>
    <w:rsid w:val="00D573E5"/>
    <w:rsid w:val="00D5773A"/>
    <w:rsid w:val="00D57BA1"/>
    <w:rsid w:val="00D6013A"/>
    <w:rsid w:val="00D603CB"/>
    <w:rsid w:val="00D60F50"/>
    <w:rsid w:val="00D61760"/>
    <w:rsid w:val="00D61ABD"/>
    <w:rsid w:val="00D61CDA"/>
    <w:rsid w:val="00D6324A"/>
    <w:rsid w:val="00D638EF"/>
    <w:rsid w:val="00D63C75"/>
    <w:rsid w:val="00D63E95"/>
    <w:rsid w:val="00D64A64"/>
    <w:rsid w:val="00D67C29"/>
    <w:rsid w:val="00D72B89"/>
    <w:rsid w:val="00D731D1"/>
    <w:rsid w:val="00D758CF"/>
    <w:rsid w:val="00D75BDE"/>
    <w:rsid w:val="00D7696D"/>
    <w:rsid w:val="00D76DB0"/>
    <w:rsid w:val="00D8054D"/>
    <w:rsid w:val="00D8198D"/>
    <w:rsid w:val="00D82573"/>
    <w:rsid w:val="00D83816"/>
    <w:rsid w:val="00D83F2E"/>
    <w:rsid w:val="00D84076"/>
    <w:rsid w:val="00D84AF2"/>
    <w:rsid w:val="00D84FF2"/>
    <w:rsid w:val="00D851EA"/>
    <w:rsid w:val="00D8617F"/>
    <w:rsid w:val="00D86922"/>
    <w:rsid w:val="00D86E79"/>
    <w:rsid w:val="00D870DF"/>
    <w:rsid w:val="00D875F5"/>
    <w:rsid w:val="00D9112E"/>
    <w:rsid w:val="00D929D2"/>
    <w:rsid w:val="00D95E25"/>
    <w:rsid w:val="00D965C4"/>
    <w:rsid w:val="00D966A5"/>
    <w:rsid w:val="00DA00BD"/>
    <w:rsid w:val="00DA04B8"/>
    <w:rsid w:val="00DA145E"/>
    <w:rsid w:val="00DA1E87"/>
    <w:rsid w:val="00DA3334"/>
    <w:rsid w:val="00DA407E"/>
    <w:rsid w:val="00DA4C9F"/>
    <w:rsid w:val="00DA5276"/>
    <w:rsid w:val="00DA57B2"/>
    <w:rsid w:val="00DA5EB6"/>
    <w:rsid w:val="00DA61D7"/>
    <w:rsid w:val="00DB0C71"/>
    <w:rsid w:val="00DB0F60"/>
    <w:rsid w:val="00DB2885"/>
    <w:rsid w:val="00DB3853"/>
    <w:rsid w:val="00DB3C0B"/>
    <w:rsid w:val="00DB4C40"/>
    <w:rsid w:val="00DB4CB4"/>
    <w:rsid w:val="00DB50E0"/>
    <w:rsid w:val="00DB5B1C"/>
    <w:rsid w:val="00DB5C46"/>
    <w:rsid w:val="00DC01A9"/>
    <w:rsid w:val="00DC0969"/>
    <w:rsid w:val="00DC1E19"/>
    <w:rsid w:val="00DC2D19"/>
    <w:rsid w:val="00DC3E32"/>
    <w:rsid w:val="00DC571D"/>
    <w:rsid w:val="00DC7890"/>
    <w:rsid w:val="00DD0378"/>
    <w:rsid w:val="00DD298D"/>
    <w:rsid w:val="00DD2EFF"/>
    <w:rsid w:val="00DD38E0"/>
    <w:rsid w:val="00DD4023"/>
    <w:rsid w:val="00DD42D8"/>
    <w:rsid w:val="00DD4827"/>
    <w:rsid w:val="00DD5994"/>
    <w:rsid w:val="00DD6E14"/>
    <w:rsid w:val="00DE086F"/>
    <w:rsid w:val="00DE1546"/>
    <w:rsid w:val="00DE1C46"/>
    <w:rsid w:val="00DE2EEA"/>
    <w:rsid w:val="00DE4A73"/>
    <w:rsid w:val="00DE4B5F"/>
    <w:rsid w:val="00DE68F1"/>
    <w:rsid w:val="00DE6E61"/>
    <w:rsid w:val="00DE7294"/>
    <w:rsid w:val="00DE72E6"/>
    <w:rsid w:val="00DE7F12"/>
    <w:rsid w:val="00DF01AE"/>
    <w:rsid w:val="00DF03B6"/>
    <w:rsid w:val="00DF1C5F"/>
    <w:rsid w:val="00DF42D8"/>
    <w:rsid w:val="00DF51DB"/>
    <w:rsid w:val="00DF5788"/>
    <w:rsid w:val="00DF7150"/>
    <w:rsid w:val="00DF7C97"/>
    <w:rsid w:val="00E00095"/>
    <w:rsid w:val="00E00211"/>
    <w:rsid w:val="00E00567"/>
    <w:rsid w:val="00E01226"/>
    <w:rsid w:val="00E01F10"/>
    <w:rsid w:val="00E0253E"/>
    <w:rsid w:val="00E02D0A"/>
    <w:rsid w:val="00E0508F"/>
    <w:rsid w:val="00E05744"/>
    <w:rsid w:val="00E0708F"/>
    <w:rsid w:val="00E07387"/>
    <w:rsid w:val="00E10053"/>
    <w:rsid w:val="00E117B3"/>
    <w:rsid w:val="00E1182E"/>
    <w:rsid w:val="00E12AF4"/>
    <w:rsid w:val="00E132B2"/>
    <w:rsid w:val="00E14561"/>
    <w:rsid w:val="00E14789"/>
    <w:rsid w:val="00E156F6"/>
    <w:rsid w:val="00E166D3"/>
    <w:rsid w:val="00E2045A"/>
    <w:rsid w:val="00E21FF3"/>
    <w:rsid w:val="00E22057"/>
    <w:rsid w:val="00E221D1"/>
    <w:rsid w:val="00E22D11"/>
    <w:rsid w:val="00E23212"/>
    <w:rsid w:val="00E23B10"/>
    <w:rsid w:val="00E26182"/>
    <w:rsid w:val="00E26F59"/>
    <w:rsid w:val="00E303FD"/>
    <w:rsid w:val="00E30E37"/>
    <w:rsid w:val="00E31329"/>
    <w:rsid w:val="00E31B3E"/>
    <w:rsid w:val="00E320B5"/>
    <w:rsid w:val="00E3260F"/>
    <w:rsid w:val="00E32A20"/>
    <w:rsid w:val="00E32F3A"/>
    <w:rsid w:val="00E33782"/>
    <w:rsid w:val="00E3406D"/>
    <w:rsid w:val="00E34526"/>
    <w:rsid w:val="00E36544"/>
    <w:rsid w:val="00E373A6"/>
    <w:rsid w:val="00E376CB"/>
    <w:rsid w:val="00E40B1B"/>
    <w:rsid w:val="00E40F58"/>
    <w:rsid w:val="00E444EA"/>
    <w:rsid w:val="00E45813"/>
    <w:rsid w:val="00E47A40"/>
    <w:rsid w:val="00E503AF"/>
    <w:rsid w:val="00E51C55"/>
    <w:rsid w:val="00E52146"/>
    <w:rsid w:val="00E54F0F"/>
    <w:rsid w:val="00E5733B"/>
    <w:rsid w:val="00E5790B"/>
    <w:rsid w:val="00E61AC6"/>
    <w:rsid w:val="00E62890"/>
    <w:rsid w:val="00E634E5"/>
    <w:rsid w:val="00E64636"/>
    <w:rsid w:val="00E64BCE"/>
    <w:rsid w:val="00E64FF9"/>
    <w:rsid w:val="00E65B38"/>
    <w:rsid w:val="00E66310"/>
    <w:rsid w:val="00E66C09"/>
    <w:rsid w:val="00E6785C"/>
    <w:rsid w:val="00E70300"/>
    <w:rsid w:val="00E70A1E"/>
    <w:rsid w:val="00E70B04"/>
    <w:rsid w:val="00E74A07"/>
    <w:rsid w:val="00E74B92"/>
    <w:rsid w:val="00E75BE8"/>
    <w:rsid w:val="00E77F2F"/>
    <w:rsid w:val="00E81634"/>
    <w:rsid w:val="00E81646"/>
    <w:rsid w:val="00E81AB4"/>
    <w:rsid w:val="00E84640"/>
    <w:rsid w:val="00E856E4"/>
    <w:rsid w:val="00E85A9D"/>
    <w:rsid w:val="00E86551"/>
    <w:rsid w:val="00E91079"/>
    <w:rsid w:val="00E9148C"/>
    <w:rsid w:val="00E91C32"/>
    <w:rsid w:val="00E93ECE"/>
    <w:rsid w:val="00E94BA8"/>
    <w:rsid w:val="00E9566D"/>
    <w:rsid w:val="00E9635E"/>
    <w:rsid w:val="00E96CB5"/>
    <w:rsid w:val="00EA0036"/>
    <w:rsid w:val="00EA0928"/>
    <w:rsid w:val="00EA138E"/>
    <w:rsid w:val="00EA1496"/>
    <w:rsid w:val="00EA24D4"/>
    <w:rsid w:val="00EA2EBB"/>
    <w:rsid w:val="00EA4284"/>
    <w:rsid w:val="00EA62AA"/>
    <w:rsid w:val="00EA68B3"/>
    <w:rsid w:val="00EA6982"/>
    <w:rsid w:val="00EA7209"/>
    <w:rsid w:val="00EA7B2F"/>
    <w:rsid w:val="00EB0F7D"/>
    <w:rsid w:val="00EB1513"/>
    <w:rsid w:val="00EB1F5A"/>
    <w:rsid w:val="00EB2630"/>
    <w:rsid w:val="00EB3256"/>
    <w:rsid w:val="00EB44D0"/>
    <w:rsid w:val="00EB506F"/>
    <w:rsid w:val="00EB52E8"/>
    <w:rsid w:val="00EB627F"/>
    <w:rsid w:val="00EC0333"/>
    <w:rsid w:val="00EC04FD"/>
    <w:rsid w:val="00EC1B56"/>
    <w:rsid w:val="00EC3EF4"/>
    <w:rsid w:val="00EC423F"/>
    <w:rsid w:val="00EC4F9A"/>
    <w:rsid w:val="00EC5842"/>
    <w:rsid w:val="00EC63C9"/>
    <w:rsid w:val="00EC6EDE"/>
    <w:rsid w:val="00ED1AB2"/>
    <w:rsid w:val="00ED29AD"/>
    <w:rsid w:val="00ED2C61"/>
    <w:rsid w:val="00ED3E34"/>
    <w:rsid w:val="00ED4281"/>
    <w:rsid w:val="00ED4D44"/>
    <w:rsid w:val="00ED5904"/>
    <w:rsid w:val="00ED5D70"/>
    <w:rsid w:val="00ED76D2"/>
    <w:rsid w:val="00EE2402"/>
    <w:rsid w:val="00EE2963"/>
    <w:rsid w:val="00EE41A7"/>
    <w:rsid w:val="00EE4A21"/>
    <w:rsid w:val="00EE7810"/>
    <w:rsid w:val="00EE7C18"/>
    <w:rsid w:val="00EF021A"/>
    <w:rsid w:val="00EF08CE"/>
    <w:rsid w:val="00EF1958"/>
    <w:rsid w:val="00EF1CF1"/>
    <w:rsid w:val="00EF2283"/>
    <w:rsid w:val="00EF229A"/>
    <w:rsid w:val="00EF5BD6"/>
    <w:rsid w:val="00EF6D4F"/>
    <w:rsid w:val="00EF6FAB"/>
    <w:rsid w:val="00EF7824"/>
    <w:rsid w:val="00EF7B3F"/>
    <w:rsid w:val="00F012EE"/>
    <w:rsid w:val="00F03B7C"/>
    <w:rsid w:val="00F06715"/>
    <w:rsid w:val="00F06A04"/>
    <w:rsid w:val="00F07168"/>
    <w:rsid w:val="00F0736C"/>
    <w:rsid w:val="00F07C60"/>
    <w:rsid w:val="00F07DA1"/>
    <w:rsid w:val="00F1211F"/>
    <w:rsid w:val="00F12B21"/>
    <w:rsid w:val="00F141A4"/>
    <w:rsid w:val="00F15C9D"/>
    <w:rsid w:val="00F15F41"/>
    <w:rsid w:val="00F16123"/>
    <w:rsid w:val="00F172AB"/>
    <w:rsid w:val="00F17861"/>
    <w:rsid w:val="00F22A0F"/>
    <w:rsid w:val="00F230EC"/>
    <w:rsid w:val="00F2397B"/>
    <w:rsid w:val="00F25EA3"/>
    <w:rsid w:val="00F26462"/>
    <w:rsid w:val="00F26E7A"/>
    <w:rsid w:val="00F301B9"/>
    <w:rsid w:val="00F309AB"/>
    <w:rsid w:val="00F30C87"/>
    <w:rsid w:val="00F31A29"/>
    <w:rsid w:val="00F32857"/>
    <w:rsid w:val="00F32AAE"/>
    <w:rsid w:val="00F33350"/>
    <w:rsid w:val="00F338F8"/>
    <w:rsid w:val="00F33AD2"/>
    <w:rsid w:val="00F34771"/>
    <w:rsid w:val="00F35B15"/>
    <w:rsid w:val="00F36CDA"/>
    <w:rsid w:val="00F3725A"/>
    <w:rsid w:val="00F37579"/>
    <w:rsid w:val="00F424DB"/>
    <w:rsid w:val="00F43FA4"/>
    <w:rsid w:val="00F44530"/>
    <w:rsid w:val="00F44CFD"/>
    <w:rsid w:val="00F457CD"/>
    <w:rsid w:val="00F4659D"/>
    <w:rsid w:val="00F4735E"/>
    <w:rsid w:val="00F475FA"/>
    <w:rsid w:val="00F51339"/>
    <w:rsid w:val="00F52E6D"/>
    <w:rsid w:val="00F52F69"/>
    <w:rsid w:val="00F532B8"/>
    <w:rsid w:val="00F53812"/>
    <w:rsid w:val="00F53909"/>
    <w:rsid w:val="00F53B23"/>
    <w:rsid w:val="00F53BB1"/>
    <w:rsid w:val="00F54E96"/>
    <w:rsid w:val="00F55786"/>
    <w:rsid w:val="00F5583D"/>
    <w:rsid w:val="00F558DF"/>
    <w:rsid w:val="00F61318"/>
    <w:rsid w:val="00F62BDF"/>
    <w:rsid w:val="00F64815"/>
    <w:rsid w:val="00F64EA3"/>
    <w:rsid w:val="00F65082"/>
    <w:rsid w:val="00F659B2"/>
    <w:rsid w:val="00F66F46"/>
    <w:rsid w:val="00F6766C"/>
    <w:rsid w:val="00F71384"/>
    <w:rsid w:val="00F72921"/>
    <w:rsid w:val="00F740DB"/>
    <w:rsid w:val="00F761A5"/>
    <w:rsid w:val="00F765B9"/>
    <w:rsid w:val="00F765BB"/>
    <w:rsid w:val="00F77F0F"/>
    <w:rsid w:val="00F8271D"/>
    <w:rsid w:val="00F83445"/>
    <w:rsid w:val="00F83466"/>
    <w:rsid w:val="00F865E0"/>
    <w:rsid w:val="00F90020"/>
    <w:rsid w:val="00F9055C"/>
    <w:rsid w:val="00F9184B"/>
    <w:rsid w:val="00F92BA3"/>
    <w:rsid w:val="00F938C8"/>
    <w:rsid w:val="00F95E3D"/>
    <w:rsid w:val="00F96557"/>
    <w:rsid w:val="00F9678F"/>
    <w:rsid w:val="00F96F3F"/>
    <w:rsid w:val="00F97232"/>
    <w:rsid w:val="00F97C15"/>
    <w:rsid w:val="00FA2191"/>
    <w:rsid w:val="00FA2606"/>
    <w:rsid w:val="00FA31CD"/>
    <w:rsid w:val="00FA3AEF"/>
    <w:rsid w:val="00FA6653"/>
    <w:rsid w:val="00FA7353"/>
    <w:rsid w:val="00FB0142"/>
    <w:rsid w:val="00FB01A5"/>
    <w:rsid w:val="00FB1AC9"/>
    <w:rsid w:val="00FB1F73"/>
    <w:rsid w:val="00FB2DDB"/>
    <w:rsid w:val="00FB3649"/>
    <w:rsid w:val="00FB53ED"/>
    <w:rsid w:val="00FB6DF4"/>
    <w:rsid w:val="00FB7FEE"/>
    <w:rsid w:val="00FC0600"/>
    <w:rsid w:val="00FC0B63"/>
    <w:rsid w:val="00FC0C28"/>
    <w:rsid w:val="00FC19A7"/>
    <w:rsid w:val="00FC1A15"/>
    <w:rsid w:val="00FC1D0E"/>
    <w:rsid w:val="00FC204B"/>
    <w:rsid w:val="00FC29AF"/>
    <w:rsid w:val="00FC304C"/>
    <w:rsid w:val="00FC3EEF"/>
    <w:rsid w:val="00FC477A"/>
    <w:rsid w:val="00FC4A76"/>
    <w:rsid w:val="00FC4A83"/>
    <w:rsid w:val="00FC4CF1"/>
    <w:rsid w:val="00FC5389"/>
    <w:rsid w:val="00FC603B"/>
    <w:rsid w:val="00FC6290"/>
    <w:rsid w:val="00FC7861"/>
    <w:rsid w:val="00FD1EC1"/>
    <w:rsid w:val="00FD2317"/>
    <w:rsid w:val="00FD31F4"/>
    <w:rsid w:val="00FD3328"/>
    <w:rsid w:val="00FD3AE2"/>
    <w:rsid w:val="00FD415B"/>
    <w:rsid w:val="00FD416F"/>
    <w:rsid w:val="00FD4EB6"/>
    <w:rsid w:val="00FD52CC"/>
    <w:rsid w:val="00FD5392"/>
    <w:rsid w:val="00FD6684"/>
    <w:rsid w:val="00FE0353"/>
    <w:rsid w:val="00FE178B"/>
    <w:rsid w:val="00FE2072"/>
    <w:rsid w:val="00FE3029"/>
    <w:rsid w:val="00FE42D2"/>
    <w:rsid w:val="00FE60A8"/>
    <w:rsid w:val="00FE6FE0"/>
    <w:rsid w:val="00FE71DB"/>
    <w:rsid w:val="00FE789F"/>
    <w:rsid w:val="00FE7971"/>
    <w:rsid w:val="00FF1C77"/>
    <w:rsid w:val="00FF289F"/>
    <w:rsid w:val="00FF35CF"/>
    <w:rsid w:val="00FF475C"/>
    <w:rsid w:val="00FF4774"/>
    <w:rsid w:val="00FF5153"/>
    <w:rsid w:val="00FF5611"/>
    <w:rsid w:val="00FF63A4"/>
    <w:rsid w:val="00FF705B"/>
    <w:rsid w:val="00FF70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colormru v:ext="edit" colors="#d47827"/>
    </o:shapedefaults>
    <o:shapelayout v:ext="edit">
      <o:idmap v:ext="edit" data="1"/>
    </o:shapelayout>
  </w:shapeDefaults>
  <w:decimalSymbol w:val="."/>
  <w:listSeparator w:val=","/>
  <w14:docId w14:val="09A11D27"/>
  <w14:defaultImageDpi w14:val="32767"/>
  <w15:docId w15:val="{9BC7AD70-159F-47E4-A957-9EC413A8F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sz w:val="22"/>
        <w:szCs w:val="22"/>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qFormat="1"/>
    <w:lsdException w:name="toc 5" w:semiHidden="1" w:uiPriority="99" w:unhideWhenUsed="1" w:qFormat="1"/>
    <w:lsdException w:name="toc 6" w:semiHidden="1" w:uiPriority="99" w:unhideWhenUsed="1" w:qFormat="1"/>
    <w:lsdException w:name="toc 7" w:semiHidden="1" w:unhideWhenUsed="1"/>
    <w:lsdException w:name="toc 8" w:semiHidden="1" w:unhideWhenUsed="1"/>
    <w:lsdException w:name="toc 9" w:semiHidden="1" w:uiPriority="39" w:unhideWhenUsed="1" w:qFormat="1"/>
    <w:lsdException w:name="Normal Indent" w:semiHidden="1" w:unhideWhenUsed="1"/>
    <w:lsdException w:name="footnote text" w:semiHidden="1" w:uiPriority="2" w:unhideWhenUsed="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iPriority="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iPriority="2" w:unhideWhenUsed="1"/>
    <w:lsdException w:name="annotation reference" w:semiHidden="1" w:unhideWhenUsed="1"/>
    <w:lsdException w:name="line number" w:semiHidden="1" w:unhideWhenUsed="1"/>
    <w:lsdException w:name="page number" w:semiHidden="1" w:uiPriority="2" w:unhideWhenUsed="1" w:qFormat="1"/>
    <w:lsdException w:name="endnote reference" w:semiHidden="1" w:uiPriority="2"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iPriority="2"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40136"/>
    <w:pPr>
      <w:tabs>
        <w:tab w:val="left" w:pos="360"/>
        <w:tab w:val="left" w:pos="720"/>
        <w:tab w:val="left" w:pos="1080"/>
      </w:tabs>
    </w:pPr>
    <w:rPr>
      <w:rFonts w:asciiTheme="minorHAnsi" w:hAnsiTheme="minorHAnsi"/>
    </w:rPr>
  </w:style>
  <w:style w:type="paragraph" w:styleId="Heading1">
    <w:name w:val="heading 1"/>
    <w:next w:val="BodyText"/>
    <w:link w:val="Heading1Char"/>
    <w:uiPriority w:val="1"/>
    <w:qFormat/>
    <w:rsid w:val="004F3B69"/>
    <w:pPr>
      <w:keepNext/>
      <w:numPr>
        <w:numId w:val="28"/>
      </w:numPr>
      <w:spacing w:before="360" w:after="240"/>
      <w:outlineLvl w:val="0"/>
    </w:pPr>
    <w:rPr>
      <w:rFonts w:asciiTheme="majorHAnsi" w:hAnsiTheme="majorHAnsi"/>
      <w:b/>
      <w:kern w:val="28"/>
      <w:sz w:val="32"/>
    </w:rPr>
  </w:style>
  <w:style w:type="paragraph" w:styleId="Heading2">
    <w:name w:val="heading 2"/>
    <w:basedOn w:val="Heading1"/>
    <w:next w:val="BodyText"/>
    <w:uiPriority w:val="1"/>
    <w:qFormat/>
    <w:rsid w:val="00E75BE8"/>
    <w:pPr>
      <w:numPr>
        <w:ilvl w:val="1"/>
      </w:numPr>
      <w:spacing w:before="240" w:after="0"/>
      <w:outlineLvl w:val="1"/>
    </w:pPr>
    <w:rPr>
      <w:sz w:val="28"/>
    </w:rPr>
  </w:style>
  <w:style w:type="paragraph" w:styleId="Heading3">
    <w:name w:val="heading 3"/>
    <w:basedOn w:val="Heading2"/>
    <w:next w:val="BodyText"/>
    <w:uiPriority w:val="1"/>
    <w:qFormat/>
    <w:rsid w:val="00EA62AA"/>
    <w:pPr>
      <w:numPr>
        <w:ilvl w:val="2"/>
      </w:numPr>
      <w:outlineLvl w:val="2"/>
    </w:pPr>
    <w:rPr>
      <w:sz w:val="24"/>
    </w:rPr>
  </w:style>
  <w:style w:type="paragraph" w:styleId="Heading4">
    <w:name w:val="heading 4"/>
    <w:basedOn w:val="Heading3"/>
    <w:next w:val="BodyText"/>
    <w:uiPriority w:val="1"/>
    <w:qFormat/>
    <w:rsid w:val="00EA62AA"/>
    <w:pPr>
      <w:numPr>
        <w:ilvl w:val="3"/>
      </w:numPr>
      <w:outlineLvl w:val="3"/>
    </w:pPr>
    <w:rPr>
      <w:sz w:val="22"/>
    </w:rPr>
  </w:style>
  <w:style w:type="paragraph" w:styleId="Heading5">
    <w:name w:val="heading 5"/>
    <w:basedOn w:val="Heading4"/>
    <w:next w:val="Normal"/>
    <w:uiPriority w:val="1"/>
    <w:qFormat/>
    <w:rsid w:val="00EA62AA"/>
    <w:pPr>
      <w:numPr>
        <w:ilvl w:val="4"/>
      </w:numPr>
      <w:outlineLvl w:val="4"/>
    </w:pPr>
  </w:style>
  <w:style w:type="paragraph" w:styleId="Heading6">
    <w:name w:val="heading 6"/>
    <w:basedOn w:val="Normal"/>
    <w:next w:val="BodyText"/>
    <w:link w:val="Heading6Char"/>
    <w:uiPriority w:val="1"/>
    <w:qFormat/>
    <w:rsid w:val="002A7EF6"/>
    <w:pPr>
      <w:numPr>
        <w:ilvl w:val="5"/>
        <w:numId w:val="28"/>
      </w:numPr>
      <w:tabs>
        <w:tab w:val="clear" w:pos="360"/>
        <w:tab w:val="clear" w:pos="720"/>
      </w:tabs>
      <w:jc w:val="center"/>
      <w:outlineLvl w:val="5"/>
    </w:pPr>
    <w:rPr>
      <w:rFonts w:asciiTheme="majorHAnsi" w:hAnsiTheme="majorHAnsi"/>
      <w:b/>
      <w:sz w:val="32"/>
    </w:rPr>
  </w:style>
  <w:style w:type="paragraph" w:styleId="Heading7">
    <w:name w:val="heading 7"/>
    <w:basedOn w:val="Heading2"/>
    <w:next w:val="BodyText"/>
    <w:uiPriority w:val="1"/>
    <w:qFormat/>
    <w:rsid w:val="00EA62AA"/>
    <w:pPr>
      <w:numPr>
        <w:ilvl w:val="6"/>
      </w:numPr>
      <w:outlineLvl w:val="6"/>
    </w:pPr>
  </w:style>
  <w:style w:type="paragraph" w:styleId="Heading8">
    <w:name w:val="heading 8"/>
    <w:basedOn w:val="Heading4"/>
    <w:next w:val="BodyText"/>
    <w:uiPriority w:val="1"/>
    <w:qFormat/>
    <w:rsid w:val="00EA62AA"/>
    <w:pPr>
      <w:numPr>
        <w:ilvl w:val="7"/>
      </w:numPr>
      <w:outlineLvl w:val="7"/>
    </w:pPr>
    <w:rPr>
      <w:sz w:val="24"/>
    </w:rPr>
  </w:style>
  <w:style w:type="paragraph" w:styleId="Heading9">
    <w:name w:val="heading 9"/>
    <w:basedOn w:val="Heading4"/>
    <w:next w:val="BodyText"/>
    <w:uiPriority w:val="1"/>
    <w:qFormat/>
    <w:rsid w:val="00EA62AA"/>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ronyms">
    <w:name w:val="Acronyms"/>
    <w:qFormat/>
    <w:rsid w:val="00FC603B"/>
    <w:pPr>
      <w:spacing w:before="60" w:line="264" w:lineRule="auto"/>
      <w:ind w:left="2160" w:hanging="2160"/>
    </w:pPr>
    <w:rPr>
      <w:rFonts w:asciiTheme="minorHAnsi" w:hAnsiTheme="minorHAnsi"/>
    </w:rPr>
  </w:style>
  <w:style w:type="paragraph" w:styleId="BodyText">
    <w:name w:val="Body Text"/>
    <w:basedOn w:val="Normal"/>
    <w:link w:val="BodyTextChar"/>
    <w:qFormat/>
    <w:rsid w:val="001F7071"/>
    <w:pPr>
      <w:spacing w:before="240"/>
    </w:pPr>
  </w:style>
  <w:style w:type="paragraph" w:styleId="Caption">
    <w:name w:val="caption"/>
    <w:basedOn w:val="Normal"/>
    <w:next w:val="Normal"/>
    <w:uiPriority w:val="1"/>
    <w:semiHidden/>
    <w:qFormat/>
    <w:rsid w:val="000402EC"/>
    <w:pPr>
      <w:tabs>
        <w:tab w:val="clear" w:pos="360"/>
        <w:tab w:val="clear" w:pos="720"/>
        <w:tab w:val="clear" w:pos="1080"/>
      </w:tabs>
      <w:jc w:val="center"/>
    </w:pPr>
    <w:rPr>
      <w:color w:val="D57500" w:themeColor="text2"/>
    </w:rPr>
  </w:style>
  <w:style w:type="paragraph" w:customStyle="1" w:styleId="Caption-Fig">
    <w:name w:val="Caption-Fig"/>
    <w:basedOn w:val="Caption"/>
    <w:next w:val="Normal"/>
    <w:qFormat/>
    <w:rsid w:val="002A7EF6"/>
    <w:pPr>
      <w:spacing w:before="120" w:after="240"/>
      <w:ind w:left="990" w:hanging="990"/>
      <w:jc w:val="left"/>
    </w:pPr>
    <w:rPr>
      <w:color w:val="auto"/>
    </w:rPr>
  </w:style>
  <w:style w:type="paragraph" w:customStyle="1" w:styleId="Caption-Tab">
    <w:name w:val="Caption-Tab"/>
    <w:basedOn w:val="Caption"/>
    <w:next w:val="Normal"/>
    <w:qFormat/>
    <w:rsid w:val="002A7EF6"/>
    <w:pPr>
      <w:keepNext/>
      <w:spacing w:before="480" w:after="120"/>
      <w:ind w:left="990" w:hanging="990"/>
      <w:jc w:val="left"/>
    </w:pPr>
    <w:rPr>
      <w:color w:val="auto"/>
    </w:rPr>
  </w:style>
  <w:style w:type="paragraph" w:styleId="Footer">
    <w:name w:val="footer"/>
    <w:basedOn w:val="Header"/>
    <w:link w:val="FooterChar"/>
    <w:uiPriority w:val="99"/>
    <w:unhideWhenUsed/>
    <w:qFormat/>
    <w:rsid w:val="004D41A2"/>
    <w:pPr>
      <w:tabs>
        <w:tab w:val="right" w:pos="10080"/>
      </w:tabs>
      <w:jc w:val="center"/>
    </w:pPr>
  </w:style>
  <w:style w:type="character" w:styleId="FootnoteReference">
    <w:name w:val="footnote reference"/>
    <w:basedOn w:val="DefaultParagraphFont"/>
    <w:uiPriority w:val="2"/>
    <w:unhideWhenUsed/>
    <w:rsid w:val="00D64A64"/>
    <w:rPr>
      <w:rFonts w:ascii="Arial" w:hAnsi="Arial"/>
      <w:sz w:val="22"/>
      <w:bdr w:val="none" w:sz="0" w:space="0" w:color="auto"/>
      <w:shd w:val="clear" w:color="auto" w:fill="auto"/>
      <w:vertAlign w:val="superscript"/>
    </w:rPr>
  </w:style>
  <w:style w:type="paragraph" w:styleId="FootnoteText">
    <w:name w:val="footnote text"/>
    <w:uiPriority w:val="2"/>
    <w:unhideWhenUsed/>
    <w:rsid w:val="00EA62AA"/>
    <w:rPr>
      <w:sz w:val="20"/>
    </w:rPr>
  </w:style>
  <w:style w:type="paragraph" w:styleId="Header">
    <w:name w:val="header"/>
    <w:link w:val="HeaderChar"/>
    <w:uiPriority w:val="99"/>
    <w:unhideWhenUsed/>
    <w:qFormat/>
    <w:rsid w:val="002A7EF6"/>
    <w:pPr>
      <w:ind w:left="-720" w:right="-720"/>
      <w:jc w:val="right"/>
    </w:pPr>
    <w:rPr>
      <w:rFonts w:asciiTheme="majorHAnsi" w:hAnsiTheme="majorHAnsi"/>
    </w:rPr>
  </w:style>
  <w:style w:type="paragraph" w:customStyle="1" w:styleId="Heading-FrontTOC">
    <w:name w:val="Heading-Front (TOC)"/>
    <w:basedOn w:val="Heading1"/>
    <w:next w:val="BodyText"/>
    <w:uiPriority w:val="1"/>
    <w:qFormat/>
    <w:rsid w:val="000E268D"/>
    <w:pPr>
      <w:numPr>
        <w:numId w:val="0"/>
      </w:numPr>
      <w:spacing w:before="0" w:line="264" w:lineRule="auto"/>
    </w:pPr>
  </w:style>
  <w:style w:type="paragraph" w:customStyle="1" w:styleId="HeadingFrontNoTOC">
    <w:name w:val="Heading Front (No TOC)"/>
    <w:basedOn w:val="Heading-FrontTOC"/>
    <w:next w:val="BodyText"/>
    <w:uiPriority w:val="1"/>
    <w:qFormat/>
    <w:rsid w:val="000E268D"/>
  </w:style>
  <w:style w:type="character" w:styleId="Hyperlink">
    <w:name w:val="Hyperlink"/>
    <w:basedOn w:val="DefaultParagraphFont"/>
    <w:uiPriority w:val="99"/>
    <w:unhideWhenUsed/>
    <w:rsid w:val="00EA62AA"/>
    <w:rPr>
      <w:color w:val="0000FF"/>
      <w:u w:val="single"/>
    </w:rPr>
  </w:style>
  <w:style w:type="paragraph" w:styleId="List">
    <w:name w:val="List"/>
    <w:basedOn w:val="BodyText"/>
    <w:qFormat/>
    <w:rsid w:val="00EA62AA"/>
    <w:pPr>
      <w:numPr>
        <w:numId w:val="29"/>
      </w:numPr>
      <w:spacing w:before="120"/>
    </w:pPr>
  </w:style>
  <w:style w:type="paragraph" w:styleId="ListBullet">
    <w:name w:val="List Bullet"/>
    <w:basedOn w:val="List"/>
    <w:qFormat/>
    <w:rsid w:val="00512532"/>
    <w:pPr>
      <w:numPr>
        <w:numId w:val="30"/>
      </w:numPr>
      <w:tabs>
        <w:tab w:val="clear" w:pos="720"/>
        <w:tab w:val="clear" w:pos="1080"/>
      </w:tabs>
      <w:ind w:left="360"/>
    </w:pPr>
  </w:style>
  <w:style w:type="paragraph" w:styleId="ListBullet2">
    <w:name w:val="List Bullet 2"/>
    <w:basedOn w:val="ListBullet"/>
    <w:qFormat/>
    <w:rsid w:val="00EA62AA"/>
    <w:pPr>
      <w:numPr>
        <w:numId w:val="31"/>
      </w:numPr>
    </w:pPr>
  </w:style>
  <w:style w:type="paragraph" w:styleId="ListBullet3">
    <w:name w:val="List Bullet 3"/>
    <w:basedOn w:val="ListBullet2"/>
    <w:qFormat/>
    <w:rsid w:val="00EA62AA"/>
    <w:pPr>
      <w:numPr>
        <w:numId w:val="32"/>
      </w:numPr>
    </w:pPr>
  </w:style>
  <w:style w:type="paragraph" w:customStyle="1" w:styleId="TableText">
    <w:name w:val="TableText"/>
    <w:basedOn w:val="BodyText"/>
    <w:qFormat/>
    <w:rsid w:val="008534B1"/>
    <w:pPr>
      <w:spacing w:before="0"/>
    </w:pPr>
    <w:rPr>
      <w:sz w:val="20"/>
      <w:szCs w:val="20"/>
    </w:rPr>
  </w:style>
  <w:style w:type="paragraph" w:customStyle="1" w:styleId="ListLetter">
    <w:name w:val="List Letter"/>
    <w:uiPriority w:val="99"/>
    <w:unhideWhenUsed/>
    <w:rsid w:val="00EA62AA"/>
    <w:pPr>
      <w:numPr>
        <w:numId w:val="34"/>
      </w:numPr>
      <w:spacing w:before="120"/>
    </w:pPr>
  </w:style>
  <w:style w:type="paragraph" w:styleId="ListNumber">
    <w:name w:val="List Number"/>
    <w:link w:val="ListNumberChar"/>
    <w:uiPriority w:val="99"/>
    <w:unhideWhenUsed/>
    <w:rsid w:val="00FC603B"/>
    <w:pPr>
      <w:numPr>
        <w:numId w:val="35"/>
      </w:numPr>
      <w:spacing w:before="120"/>
    </w:pPr>
    <w:rPr>
      <w:rFonts w:asciiTheme="minorHAnsi" w:hAnsiTheme="minorHAnsi"/>
    </w:rPr>
  </w:style>
  <w:style w:type="character" w:styleId="PageNumber">
    <w:name w:val="page number"/>
    <w:basedOn w:val="DefaultParagraphFont"/>
    <w:uiPriority w:val="2"/>
    <w:unhideWhenUsed/>
    <w:qFormat/>
    <w:rsid w:val="002A7EF6"/>
    <w:rPr>
      <w:b w:val="0"/>
      <w:noProof/>
      <w:color w:val="auto"/>
      <w:sz w:val="22"/>
    </w:rPr>
  </w:style>
  <w:style w:type="table" w:styleId="TableGrid">
    <w:name w:val="Table Grid"/>
    <w:basedOn w:val="TableNormal"/>
    <w:rsid w:val="001F7071"/>
    <w:rPr>
      <w:rFonts w:asciiTheme="minorHAnsi" w:hAnsiTheme="minorHAns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semiHidden/>
    <w:unhideWhenUsed/>
    <w:rsid w:val="00EA62AA"/>
    <w:pPr>
      <w:tabs>
        <w:tab w:val="clear" w:pos="360"/>
        <w:tab w:val="clear" w:pos="720"/>
        <w:tab w:val="clear" w:pos="1080"/>
      </w:tabs>
      <w:ind w:left="220" w:hanging="220"/>
    </w:pPr>
  </w:style>
  <w:style w:type="paragraph" w:styleId="TableofFigures">
    <w:name w:val="table of figures"/>
    <w:basedOn w:val="Normal"/>
    <w:next w:val="Normal"/>
    <w:autoRedefine/>
    <w:uiPriority w:val="98"/>
    <w:qFormat/>
    <w:rsid w:val="00425D00"/>
    <w:pPr>
      <w:tabs>
        <w:tab w:val="clear" w:pos="360"/>
        <w:tab w:val="clear" w:pos="720"/>
        <w:tab w:val="clear" w:pos="1080"/>
        <w:tab w:val="right" w:leader="dot" w:pos="9360"/>
      </w:tabs>
      <w:spacing w:before="80"/>
      <w:ind w:left="1440" w:right="720" w:hanging="1440"/>
    </w:pPr>
    <w:rPr>
      <w:noProof/>
    </w:rPr>
  </w:style>
  <w:style w:type="paragraph" w:customStyle="1" w:styleId="TableTextFootnote">
    <w:name w:val="TableText_Footnote"/>
    <w:basedOn w:val="TableText"/>
    <w:qFormat/>
    <w:rsid w:val="008534B1"/>
    <w:pPr>
      <w:ind w:left="400" w:hanging="400"/>
    </w:pPr>
  </w:style>
  <w:style w:type="paragraph" w:styleId="TOC1">
    <w:name w:val="toc 1"/>
    <w:basedOn w:val="Normal"/>
    <w:next w:val="Normal"/>
    <w:autoRedefine/>
    <w:uiPriority w:val="39"/>
    <w:unhideWhenUsed/>
    <w:qFormat/>
    <w:rsid w:val="0071095F"/>
    <w:pPr>
      <w:keepLines/>
      <w:tabs>
        <w:tab w:val="clear" w:pos="360"/>
        <w:tab w:val="clear" w:pos="1080"/>
        <w:tab w:val="right" w:leader="dot" w:pos="9360"/>
      </w:tabs>
      <w:spacing w:before="80"/>
      <w:ind w:left="720" w:right="720" w:hanging="720"/>
    </w:pPr>
    <w:rPr>
      <w:noProof/>
    </w:rPr>
  </w:style>
  <w:style w:type="paragraph" w:styleId="TOC2">
    <w:name w:val="toc 2"/>
    <w:basedOn w:val="Normal"/>
    <w:next w:val="Normal"/>
    <w:autoRedefine/>
    <w:uiPriority w:val="39"/>
    <w:unhideWhenUsed/>
    <w:rsid w:val="0071095F"/>
    <w:pPr>
      <w:tabs>
        <w:tab w:val="clear" w:pos="360"/>
        <w:tab w:val="clear" w:pos="720"/>
        <w:tab w:val="clear" w:pos="1080"/>
        <w:tab w:val="left" w:pos="1440"/>
        <w:tab w:val="right" w:leader="dot" w:pos="9360"/>
      </w:tabs>
      <w:spacing w:before="80"/>
      <w:ind w:left="1440" w:right="720" w:hanging="720"/>
    </w:pPr>
    <w:rPr>
      <w:noProof/>
    </w:rPr>
  </w:style>
  <w:style w:type="paragraph" w:styleId="TOC3">
    <w:name w:val="toc 3"/>
    <w:basedOn w:val="Normal"/>
    <w:next w:val="Normal"/>
    <w:autoRedefine/>
    <w:uiPriority w:val="39"/>
    <w:unhideWhenUsed/>
    <w:rsid w:val="00DA3334"/>
    <w:pPr>
      <w:tabs>
        <w:tab w:val="clear" w:pos="360"/>
        <w:tab w:val="clear" w:pos="720"/>
        <w:tab w:val="clear" w:pos="1080"/>
        <w:tab w:val="right" w:leader="dot" w:pos="9360"/>
      </w:tabs>
      <w:spacing w:before="80"/>
      <w:ind w:left="2340" w:right="720" w:hanging="875"/>
    </w:pPr>
    <w:rPr>
      <w:noProof/>
    </w:rPr>
  </w:style>
  <w:style w:type="paragraph" w:styleId="TOC4">
    <w:name w:val="toc 4"/>
    <w:basedOn w:val="TOC1"/>
    <w:next w:val="Normal"/>
    <w:autoRedefine/>
    <w:uiPriority w:val="39"/>
    <w:qFormat/>
    <w:rsid w:val="00DA3334"/>
    <w:pPr>
      <w:ind w:left="3240" w:hanging="911"/>
    </w:pPr>
  </w:style>
  <w:style w:type="paragraph" w:styleId="TOC5">
    <w:name w:val="toc 5"/>
    <w:basedOn w:val="Normal"/>
    <w:next w:val="Normal"/>
    <w:autoRedefine/>
    <w:uiPriority w:val="99"/>
    <w:semiHidden/>
    <w:qFormat/>
    <w:rsid w:val="00EA62AA"/>
    <w:pPr>
      <w:tabs>
        <w:tab w:val="clear" w:pos="360"/>
        <w:tab w:val="clear" w:pos="720"/>
        <w:tab w:val="clear" w:pos="1080"/>
      </w:tabs>
      <w:ind w:left="880"/>
    </w:pPr>
  </w:style>
  <w:style w:type="paragraph" w:styleId="TOC6">
    <w:name w:val="toc 6"/>
    <w:basedOn w:val="Normal"/>
    <w:next w:val="Normal"/>
    <w:autoRedefine/>
    <w:uiPriority w:val="99"/>
    <w:semiHidden/>
    <w:qFormat/>
    <w:rsid w:val="00EA62AA"/>
    <w:pPr>
      <w:tabs>
        <w:tab w:val="clear" w:pos="360"/>
        <w:tab w:val="clear" w:pos="720"/>
        <w:tab w:val="clear" w:pos="1080"/>
        <w:tab w:val="right" w:leader="dot" w:pos="9360"/>
      </w:tabs>
    </w:pPr>
  </w:style>
  <w:style w:type="paragraph" w:customStyle="1" w:styleId="TableCaption">
    <w:name w:val="Table Caption"/>
    <w:basedOn w:val="Normal"/>
    <w:semiHidden/>
    <w:unhideWhenUsed/>
    <w:rsid w:val="00EA62AA"/>
    <w:pPr>
      <w:keepNext/>
      <w:spacing w:after="180"/>
    </w:pPr>
    <w:rPr>
      <w:b/>
      <w:bCs/>
    </w:rPr>
  </w:style>
  <w:style w:type="paragraph" w:customStyle="1" w:styleId="TableTextDecimal">
    <w:name w:val="TableText_Decimal"/>
    <w:basedOn w:val="TableText"/>
    <w:qFormat/>
    <w:rsid w:val="008534B1"/>
    <w:pPr>
      <w:tabs>
        <w:tab w:val="clear" w:pos="360"/>
        <w:tab w:val="clear" w:pos="720"/>
        <w:tab w:val="clear" w:pos="1080"/>
        <w:tab w:val="decimal" w:pos="456"/>
      </w:tabs>
    </w:pPr>
  </w:style>
  <w:style w:type="character" w:customStyle="1" w:styleId="BodyTextChar">
    <w:name w:val="Body Text Char"/>
    <w:basedOn w:val="DefaultParagraphFont"/>
    <w:link w:val="BodyText"/>
    <w:rsid w:val="001F7071"/>
    <w:rPr>
      <w:rFonts w:asciiTheme="minorHAnsi" w:hAnsiTheme="minorHAnsi"/>
    </w:rPr>
  </w:style>
  <w:style w:type="character" w:customStyle="1" w:styleId="HeaderChar">
    <w:name w:val="Header Char"/>
    <w:basedOn w:val="DefaultParagraphFont"/>
    <w:link w:val="Header"/>
    <w:uiPriority w:val="99"/>
    <w:rsid w:val="002A7EF6"/>
    <w:rPr>
      <w:rFonts w:asciiTheme="majorHAnsi" w:hAnsiTheme="majorHAnsi"/>
    </w:rPr>
  </w:style>
  <w:style w:type="character" w:customStyle="1" w:styleId="FooterChar">
    <w:name w:val="Footer Char"/>
    <w:basedOn w:val="DefaultParagraphFont"/>
    <w:link w:val="Footer"/>
    <w:uiPriority w:val="99"/>
    <w:rsid w:val="004D41A2"/>
  </w:style>
  <w:style w:type="paragraph" w:styleId="TOC9">
    <w:name w:val="toc 9"/>
    <w:basedOn w:val="TOC1"/>
    <w:next w:val="Normal"/>
    <w:autoRedefine/>
    <w:uiPriority w:val="39"/>
    <w:unhideWhenUsed/>
    <w:qFormat/>
    <w:rsid w:val="007F78D4"/>
  </w:style>
  <w:style w:type="paragraph" w:customStyle="1" w:styleId="distr">
    <w:name w:val="distr"/>
    <w:basedOn w:val="Normal"/>
    <w:uiPriority w:val="99"/>
    <w:qFormat/>
    <w:rsid w:val="006022C1"/>
    <w:pPr>
      <w:tabs>
        <w:tab w:val="clear" w:pos="360"/>
        <w:tab w:val="clear" w:pos="1080"/>
        <w:tab w:val="left" w:pos="900"/>
        <w:tab w:val="right" w:pos="3960"/>
      </w:tabs>
      <w:ind w:left="720" w:hanging="360"/>
    </w:pPr>
  </w:style>
  <w:style w:type="paragraph" w:customStyle="1" w:styleId="WhiteCoverPNNLPreparedFor">
    <w:name w:val="White_Cover_PNNL_Prepared_For"/>
    <w:basedOn w:val="Normal"/>
    <w:qFormat/>
    <w:rsid w:val="00845877"/>
    <w:pPr>
      <w:framePr w:hSpace="187" w:wrap="around" w:hAnchor="margin" w:yAlign="bottom"/>
      <w:tabs>
        <w:tab w:val="clear" w:pos="360"/>
        <w:tab w:val="clear" w:pos="720"/>
        <w:tab w:val="clear" w:pos="1080"/>
        <w:tab w:val="left" w:pos="2160"/>
        <w:tab w:val="left" w:pos="4680"/>
      </w:tabs>
      <w:spacing w:before="240" w:line="264" w:lineRule="auto"/>
      <w:suppressOverlap/>
    </w:pPr>
    <w:rPr>
      <w:rFonts w:asciiTheme="majorHAnsi" w:eastAsiaTheme="minorEastAsia" w:hAnsiTheme="majorHAnsi" w:cstheme="minorBidi"/>
      <w:sz w:val="14"/>
      <w:szCs w:val="24"/>
    </w:rPr>
  </w:style>
  <w:style w:type="character" w:styleId="EndnoteReference">
    <w:name w:val="endnote reference"/>
    <w:basedOn w:val="DefaultParagraphFont"/>
    <w:uiPriority w:val="2"/>
    <w:unhideWhenUsed/>
    <w:rsid w:val="00D64A64"/>
    <w:rPr>
      <w:rFonts w:ascii="Arial" w:hAnsi="Arial"/>
      <w:vertAlign w:val="superscript"/>
    </w:rPr>
  </w:style>
  <w:style w:type="paragraph" w:customStyle="1" w:styleId="Figure">
    <w:name w:val="Figure"/>
    <w:basedOn w:val="Normal"/>
    <w:next w:val="Caption-Fig"/>
    <w:qFormat/>
    <w:rsid w:val="008C2FB6"/>
    <w:pPr>
      <w:keepNext/>
      <w:spacing w:before="240"/>
      <w:ind w:left="-720" w:right="-720"/>
      <w:jc w:val="center"/>
    </w:pPr>
  </w:style>
  <w:style w:type="character" w:styleId="FollowedHyperlink">
    <w:name w:val="FollowedHyperlink"/>
    <w:basedOn w:val="DefaultParagraphFont"/>
    <w:semiHidden/>
    <w:unhideWhenUsed/>
    <w:rsid w:val="00EA62AA"/>
    <w:rPr>
      <w:color w:val="800080"/>
      <w:u w:val="single"/>
    </w:rPr>
  </w:style>
  <w:style w:type="paragraph" w:styleId="NormalWeb">
    <w:name w:val="Normal (Web)"/>
    <w:basedOn w:val="Normal"/>
    <w:uiPriority w:val="99"/>
    <w:semiHidden/>
    <w:unhideWhenUsed/>
    <w:rsid w:val="00EA62AA"/>
    <w:rPr>
      <w:szCs w:val="24"/>
    </w:rPr>
  </w:style>
  <w:style w:type="paragraph" w:styleId="TOCHeading">
    <w:name w:val="TOC Heading"/>
    <w:basedOn w:val="Heading1"/>
    <w:next w:val="Normal"/>
    <w:uiPriority w:val="39"/>
    <w:semiHidden/>
    <w:unhideWhenUsed/>
    <w:qFormat/>
    <w:rsid w:val="00EA62AA"/>
    <w:pPr>
      <w:keepLines/>
      <w:numPr>
        <w:numId w:val="0"/>
      </w:numPr>
      <w:spacing w:before="480" w:after="0" w:line="276" w:lineRule="auto"/>
      <w:outlineLvl w:val="9"/>
    </w:pPr>
    <w:rPr>
      <w:rFonts w:ascii="Cambria" w:hAnsi="Cambria"/>
      <w:bCs/>
      <w:color w:val="365F91"/>
      <w:kern w:val="0"/>
      <w:sz w:val="28"/>
      <w:szCs w:val="28"/>
    </w:rPr>
  </w:style>
  <w:style w:type="paragraph" w:customStyle="1" w:styleId="PNNLTitlePageTitle">
    <w:name w:val="PNNL_Title_Page_Title"/>
    <w:basedOn w:val="Normal"/>
    <w:uiPriority w:val="99"/>
    <w:qFormat/>
    <w:rsid w:val="001F7071"/>
    <w:rPr>
      <w:rFonts w:asciiTheme="majorHAnsi" w:hAnsiTheme="majorHAnsi" w:cs="Arial"/>
      <w:b/>
      <w:w w:val="104"/>
      <w:sz w:val="40"/>
      <w:szCs w:val="40"/>
    </w:rPr>
  </w:style>
  <w:style w:type="paragraph" w:customStyle="1" w:styleId="PNNLTitle-PageText">
    <w:name w:val="PNNL_Title-Page_Text"/>
    <w:basedOn w:val="Normal"/>
    <w:uiPriority w:val="99"/>
    <w:qFormat/>
    <w:rsid w:val="001F7071"/>
    <w:pPr>
      <w:tabs>
        <w:tab w:val="clear" w:pos="360"/>
        <w:tab w:val="clear" w:pos="720"/>
        <w:tab w:val="clear" w:pos="1080"/>
        <w:tab w:val="left" w:pos="2880"/>
      </w:tabs>
    </w:pPr>
    <w:rPr>
      <w:rFonts w:asciiTheme="majorHAnsi" w:hAnsiTheme="majorHAnsi"/>
      <w:sz w:val="24"/>
      <w:szCs w:val="24"/>
    </w:rPr>
  </w:style>
  <w:style w:type="paragraph" w:customStyle="1" w:styleId="Equation">
    <w:name w:val="Equation"/>
    <w:basedOn w:val="BodyText"/>
    <w:uiPriority w:val="2"/>
    <w:qFormat/>
    <w:rsid w:val="00962770"/>
    <w:pPr>
      <w:tabs>
        <w:tab w:val="clear" w:pos="360"/>
        <w:tab w:val="clear" w:pos="720"/>
        <w:tab w:val="clear" w:pos="1080"/>
      </w:tabs>
    </w:pPr>
  </w:style>
  <w:style w:type="paragraph" w:styleId="DocumentMap">
    <w:name w:val="Document Map"/>
    <w:basedOn w:val="Normal"/>
    <w:link w:val="DocumentMapChar"/>
    <w:semiHidden/>
    <w:unhideWhenUsed/>
    <w:rsid w:val="00EA62AA"/>
    <w:rPr>
      <w:rFonts w:ascii="Tahoma" w:hAnsi="Tahoma" w:cs="Tahoma"/>
      <w:sz w:val="16"/>
      <w:szCs w:val="16"/>
    </w:rPr>
  </w:style>
  <w:style w:type="character" w:customStyle="1" w:styleId="DocumentMapChar">
    <w:name w:val="Document Map Char"/>
    <w:basedOn w:val="DefaultParagraphFont"/>
    <w:link w:val="DocumentMap"/>
    <w:semiHidden/>
    <w:rsid w:val="00EA62AA"/>
    <w:rPr>
      <w:rFonts w:ascii="Tahoma" w:hAnsi="Tahoma" w:cs="Tahoma"/>
      <w:sz w:val="16"/>
      <w:szCs w:val="16"/>
    </w:rPr>
  </w:style>
  <w:style w:type="paragraph" w:styleId="BalloonText">
    <w:name w:val="Balloon Text"/>
    <w:basedOn w:val="Normal"/>
    <w:link w:val="BalloonTextChar"/>
    <w:semiHidden/>
    <w:unhideWhenUsed/>
    <w:rsid w:val="00EA62AA"/>
    <w:rPr>
      <w:rFonts w:ascii="Tahoma" w:hAnsi="Tahoma" w:cs="Tahoma"/>
      <w:sz w:val="16"/>
      <w:szCs w:val="16"/>
    </w:rPr>
  </w:style>
  <w:style w:type="character" w:customStyle="1" w:styleId="BalloonTextChar">
    <w:name w:val="Balloon Text Char"/>
    <w:basedOn w:val="DefaultParagraphFont"/>
    <w:link w:val="BalloonText"/>
    <w:semiHidden/>
    <w:rsid w:val="00EA62AA"/>
    <w:rPr>
      <w:rFonts w:ascii="Tahoma" w:hAnsi="Tahoma" w:cs="Tahoma"/>
      <w:sz w:val="16"/>
      <w:szCs w:val="16"/>
    </w:rPr>
  </w:style>
  <w:style w:type="paragraph" w:customStyle="1" w:styleId="wherestatement">
    <w:name w:val="where statement"/>
    <w:basedOn w:val="Normal"/>
    <w:qFormat/>
    <w:rsid w:val="00EA62AA"/>
    <w:pPr>
      <w:tabs>
        <w:tab w:val="clear" w:pos="360"/>
        <w:tab w:val="clear" w:pos="720"/>
        <w:tab w:val="clear" w:pos="1080"/>
        <w:tab w:val="right" w:pos="1530"/>
        <w:tab w:val="left" w:pos="1710"/>
        <w:tab w:val="left" w:pos="2070"/>
      </w:tabs>
      <w:ind w:left="2074" w:hanging="2074"/>
    </w:pPr>
  </w:style>
  <w:style w:type="character" w:customStyle="1" w:styleId="Heading6Char">
    <w:name w:val="Heading 6 Char"/>
    <w:basedOn w:val="DefaultParagraphFont"/>
    <w:link w:val="Heading6"/>
    <w:uiPriority w:val="1"/>
    <w:rsid w:val="002A7EF6"/>
    <w:rPr>
      <w:rFonts w:asciiTheme="majorHAnsi" w:hAnsiTheme="majorHAnsi"/>
      <w:b/>
      <w:sz w:val="32"/>
    </w:rPr>
  </w:style>
  <w:style w:type="character" w:customStyle="1" w:styleId="Heading1Char">
    <w:name w:val="Heading 1 Char"/>
    <w:basedOn w:val="DefaultParagraphFont"/>
    <w:link w:val="Heading1"/>
    <w:uiPriority w:val="1"/>
    <w:rsid w:val="004F3B69"/>
    <w:rPr>
      <w:rFonts w:asciiTheme="majorHAnsi" w:hAnsiTheme="majorHAnsi"/>
      <w:b/>
      <w:kern w:val="28"/>
      <w:sz w:val="32"/>
    </w:rPr>
  </w:style>
  <w:style w:type="paragraph" w:styleId="EndnoteText">
    <w:name w:val="endnote text"/>
    <w:basedOn w:val="Normal"/>
    <w:link w:val="EndnoteTextChar"/>
    <w:semiHidden/>
    <w:unhideWhenUsed/>
    <w:rsid w:val="00EA62AA"/>
    <w:rPr>
      <w:sz w:val="20"/>
      <w:szCs w:val="20"/>
    </w:rPr>
  </w:style>
  <w:style w:type="character" w:customStyle="1" w:styleId="EndnoteTextChar">
    <w:name w:val="Endnote Text Char"/>
    <w:basedOn w:val="DefaultParagraphFont"/>
    <w:link w:val="EndnoteText"/>
    <w:semiHidden/>
    <w:rsid w:val="00EA62AA"/>
    <w:rPr>
      <w:sz w:val="20"/>
      <w:szCs w:val="20"/>
    </w:rPr>
  </w:style>
  <w:style w:type="character" w:customStyle="1" w:styleId="ListNumberChar">
    <w:name w:val="List Number Char"/>
    <w:basedOn w:val="DefaultParagraphFont"/>
    <w:link w:val="ListNumber"/>
    <w:uiPriority w:val="99"/>
    <w:rsid w:val="00040136"/>
    <w:rPr>
      <w:rFonts w:asciiTheme="minorHAnsi" w:hAnsiTheme="minorHAnsi"/>
    </w:rPr>
  </w:style>
  <w:style w:type="paragraph" w:customStyle="1" w:styleId="HeaderCover">
    <w:name w:val="HeaderCover"/>
    <w:basedOn w:val="Header"/>
    <w:semiHidden/>
    <w:qFormat/>
    <w:rsid w:val="00EA62AA"/>
    <w:pPr>
      <w:tabs>
        <w:tab w:val="center" w:pos="7920"/>
      </w:tabs>
    </w:pPr>
  </w:style>
  <w:style w:type="paragraph" w:customStyle="1" w:styleId="PNNLTitlePageSubtitle">
    <w:name w:val="PNNL_Title_Page_Subtitle"/>
    <w:basedOn w:val="PNNLTitle-PageText"/>
    <w:uiPriority w:val="99"/>
    <w:qFormat/>
    <w:rsid w:val="001F7071"/>
    <w:pPr>
      <w:spacing w:before="240"/>
    </w:pPr>
    <w:rPr>
      <w:sz w:val="28"/>
    </w:rPr>
  </w:style>
  <w:style w:type="character" w:styleId="PlaceholderText">
    <w:name w:val="Placeholder Text"/>
    <w:basedOn w:val="DefaultParagraphFont"/>
    <w:uiPriority w:val="99"/>
    <w:semiHidden/>
    <w:rsid w:val="001F1D25"/>
    <w:rPr>
      <w:color w:val="808080"/>
    </w:rPr>
  </w:style>
  <w:style w:type="paragraph" w:customStyle="1" w:styleId="TextBoxHeader">
    <w:name w:val="Text Box Header"/>
    <w:basedOn w:val="Normal"/>
    <w:qFormat/>
    <w:rsid w:val="002A7EF6"/>
    <w:rPr>
      <w:rFonts w:asciiTheme="majorHAnsi" w:hAnsiTheme="majorHAnsi"/>
      <w:b/>
      <w:sz w:val="28"/>
    </w:rPr>
  </w:style>
  <w:style w:type="table" w:customStyle="1" w:styleId="PNNLSingleHeaderRowFootnote">
    <w:name w:val="PNNL_Single_Header_Row_Footnote"/>
    <w:basedOn w:val="TableNormal"/>
    <w:uiPriority w:val="99"/>
    <w:rsid w:val="00EA4284"/>
    <w:rPr>
      <w:rFonts w:asciiTheme="minorHAnsi" w:hAnsiTheme="minorHAnsi"/>
      <w:sz w:val="20"/>
    </w:rPr>
    <w:tblPr>
      <w:tblStyleRowBandSize w:val="1"/>
      <w:jc w:val="center"/>
      <w:tblBorders>
        <w:bottom w:val="single" w:sz="8" w:space="0" w:color="auto"/>
      </w:tblBorders>
      <w:tblCellMar>
        <w:top w:w="29" w:type="dxa"/>
        <w:left w:w="58" w:type="dxa"/>
        <w:bottom w:w="29" w:type="dxa"/>
        <w:right w:w="58" w:type="dxa"/>
      </w:tblCellMar>
    </w:tblPr>
    <w:trPr>
      <w:jc w:val="center"/>
    </w:trPr>
    <w:tcPr>
      <w:shd w:val="clear" w:color="auto" w:fill="auto"/>
    </w:tcPr>
    <w:tblStylePr w:type="firstRow">
      <w:pPr>
        <w:wordWrap/>
        <w:spacing w:beforeLines="0" w:before="0" w:beforeAutospacing="0" w:afterLines="0" w:after="0" w:afterAutospacing="0" w:line="240" w:lineRule="auto"/>
        <w:ind w:leftChars="0" w:left="0" w:rightChars="0" w:right="0" w:firstLineChars="0" w:firstLine="0"/>
        <w:jc w:val="center"/>
        <w:outlineLvl w:val="9"/>
      </w:pPr>
      <w:rPr>
        <w:rFonts w:asciiTheme="minorHAnsi" w:hAnsiTheme="minorHAnsi"/>
        <w:b w:val="0"/>
        <w:sz w:val="20"/>
      </w:rPr>
      <w:tblPr/>
      <w:tcPr>
        <w:tcBorders>
          <w:top w:val="single" w:sz="4" w:space="0" w:color="auto"/>
          <w:bottom w:val="single" w:sz="4" w:space="0" w:color="auto"/>
        </w:tcBorders>
        <w:shd w:val="clear" w:color="auto" w:fill="auto"/>
      </w:tcPr>
    </w:tblStylePr>
    <w:tblStylePr w:type="lastRow">
      <w:pPr>
        <w:wordWrap/>
        <w:spacing w:beforeLines="0" w:before="0" w:beforeAutospacing="0" w:afterLines="0" w:after="0" w:afterAutospacing="0" w:line="240" w:lineRule="auto"/>
        <w:ind w:leftChars="0" w:left="0" w:rightChars="0" w:right="0" w:firstLineChars="0" w:firstLine="0"/>
        <w:jc w:val="left"/>
        <w:outlineLvl w:val="9"/>
      </w:pPr>
      <w:rPr>
        <w:rFonts w:asciiTheme="minorHAnsi" w:hAnsiTheme="minorHAnsi"/>
        <w:sz w:val="20"/>
      </w:rPr>
      <w:tblPr/>
      <w:tcPr>
        <w:tcBorders>
          <w:top w:val="single" w:sz="4" w:space="0" w:color="auto"/>
          <w:bottom w:val="single" w:sz="4" w:space="0" w:color="auto"/>
        </w:tcBorders>
        <w:shd w:val="clear" w:color="auto" w:fill="auto"/>
      </w:tcPr>
    </w:tblStylePr>
    <w:tblStylePr w:type="band1Horz">
      <w:pPr>
        <w:wordWrap/>
        <w:spacing w:beforeLines="0" w:before="0" w:beforeAutospacing="0" w:afterLines="0" w:after="0" w:afterAutospacing="0" w:line="240" w:lineRule="auto"/>
        <w:ind w:leftChars="0" w:left="0" w:rightChars="0" w:right="0" w:firstLineChars="0" w:firstLine="0"/>
        <w:jc w:val="left"/>
        <w:outlineLvl w:val="9"/>
      </w:pPr>
      <w:rPr>
        <w:rFonts w:asciiTheme="minorHAnsi" w:hAnsiTheme="minorHAnsi"/>
        <w:sz w:val="20"/>
      </w:rPr>
    </w:tblStylePr>
    <w:tblStylePr w:type="band2Horz">
      <w:pPr>
        <w:wordWrap/>
        <w:spacing w:beforeLines="0" w:before="0" w:beforeAutospacing="0" w:afterLines="0" w:after="0" w:afterAutospacing="0" w:line="240" w:lineRule="auto"/>
        <w:ind w:leftChars="0" w:left="0" w:rightChars="0" w:right="0" w:firstLineChars="0" w:firstLine="0"/>
        <w:jc w:val="left"/>
        <w:outlineLvl w:val="9"/>
      </w:pPr>
      <w:rPr>
        <w:rFonts w:asciiTheme="minorHAnsi" w:hAnsiTheme="minorHAnsi"/>
        <w:sz w:val="20"/>
      </w:rPr>
      <w:tblPr/>
      <w:tcPr>
        <w:shd w:val="clear" w:color="auto" w:fill="D9D9D9" w:themeFill="background1" w:themeFillShade="D9"/>
      </w:tcPr>
    </w:tblStylePr>
  </w:style>
  <w:style w:type="table" w:customStyle="1" w:styleId="PNNLSolidHeaderRow">
    <w:name w:val="PNNL_Solid_Header_Row"/>
    <w:basedOn w:val="PNNLSingleHeaderRowFootnote"/>
    <w:uiPriority w:val="99"/>
    <w:rsid w:val="00EA4284"/>
    <w:rPr>
      <w:color w:val="000000"/>
    </w:rPr>
    <w:tblPr>
      <w:tblStyleColBandSize w:val="1"/>
      <w:tblBorders>
        <w:bottom w:val="single" w:sz="4" w:space="0" w:color="auto"/>
      </w:tblBorders>
    </w:tblPr>
    <w:tcPr>
      <w:shd w:val="clear" w:color="auto" w:fill="auto"/>
    </w:tcPr>
    <w:tblStylePr w:type="firstRow">
      <w:pPr>
        <w:wordWrap/>
        <w:spacing w:beforeLines="0" w:before="0" w:beforeAutospacing="0" w:afterLines="0" w:after="0" w:afterAutospacing="0" w:line="240" w:lineRule="auto"/>
        <w:ind w:leftChars="0" w:left="0" w:rightChars="0" w:right="0" w:firstLineChars="0" w:firstLine="0"/>
        <w:jc w:val="center"/>
        <w:outlineLvl w:val="9"/>
      </w:pPr>
      <w:rPr>
        <w:rFonts w:asciiTheme="minorHAnsi" w:hAnsiTheme="minorHAnsi"/>
        <w:b/>
        <w:i w:val="0"/>
        <w:color w:val="FFFFFF" w:themeColor="background1"/>
        <w:sz w:val="20"/>
      </w:rPr>
      <w:tblPr/>
      <w:tcPr>
        <w:tcBorders>
          <w:top w:val="single" w:sz="4" w:space="0" w:color="auto"/>
          <w:bottom w:val="single" w:sz="4" w:space="0" w:color="auto"/>
        </w:tcBorders>
        <w:shd w:val="clear" w:color="auto" w:fill="000000"/>
      </w:tcPr>
    </w:tblStylePr>
    <w:tblStylePr w:type="lastRow">
      <w:pPr>
        <w:wordWrap/>
        <w:spacing w:beforeLines="0" w:before="0" w:beforeAutospacing="0" w:afterLines="0" w:after="0" w:afterAutospacing="0" w:line="240" w:lineRule="auto"/>
        <w:ind w:leftChars="0" w:left="0" w:rightChars="0" w:right="0" w:firstLineChars="0" w:firstLine="0"/>
        <w:jc w:val="left"/>
        <w:outlineLvl w:val="9"/>
      </w:pPr>
      <w:rPr>
        <w:rFonts w:asciiTheme="minorHAnsi" w:hAnsiTheme="minorHAnsi"/>
        <w:sz w:val="20"/>
      </w:rPr>
      <w:tblPr/>
      <w:tcPr>
        <w:tcBorders>
          <w:top w:val="single" w:sz="8" w:space="0" w:color="auto"/>
          <w:left w:val="nil"/>
          <w:bottom w:val="single" w:sz="8" w:space="0" w:color="auto"/>
          <w:right w:val="nil"/>
          <w:insideH w:val="nil"/>
          <w:insideV w:val="nil"/>
          <w:tl2br w:val="nil"/>
          <w:tr2bl w:val="nil"/>
        </w:tcBorders>
        <w:shd w:val="clear" w:color="auto" w:fill="auto"/>
      </w:tcPr>
    </w:tblStylePr>
    <w:tblStylePr w:type="band1Horz">
      <w:pPr>
        <w:wordWrap/>
        <w:spacing w:beforeLines="0" w:before="0" w:beforeAutospacing="0" w:afterLines="0" w:after="0" w:afterAutospacing="0" w:line="240" w:lineRule="auto"/>
        <w:ind w:leftChars="0" w:left="0" w:rightChars="0" w:right="0" w:firstLineChars="0" w:firstLine="0"/>
        <w:jc w:val="left"/>
        <w:outlineLvl w:val="9"/>
      </w:pPr>
      <w:rPr>
        <w:rFonts w:asciiTheme="minorHAnsi" w:hAnsiTheme="minorHAnsi"/>
        <w:sz w:val="20"/>
      </w:rPr>
    </w:tblStylePr>
    <w:tblStylePr w:type="band2Horz">
      <w:pPr>
        <w:wordWrap/>
        <w:spacing w:beforeLines="0" w:before="0" w:beforeAutospacing="0" w:afterLines="0" w:after="0" w:afterAutospacing="0" w:line="240" w:lineRule="auto"/>
        <w:ind w:leftChars="0" w:left="0" w:rightChars="0" w:right="0" w:firstLineChars="0" w:firstLine="0"/>
        <w:jc w:val="left"/>
        <w:outlineLvl w:val="9"/>
      </w:pPr>
      <w:rPr>
        <w:rFonts w:asciiTheme="minorHAnsi" w:hAnsiTheme="minorHAnsi"/>
        <w:sz w:val="20"/>
      </w:rPr>
      <w:tblPr/>
      <w:tcPr>
        <w:shd w:val="clear" w:color="auto" w:fill="D9D9D9" w:themeFill="background1" w:themeFillShade="D9"/>
      </w:tcPr>
    </w:tblStylePr>
  </w:style>
  <w:style w:type="paragraph" w:styleId="NoSpacing">
    <w:name w:val="No Spacing"/>
    <w:link w:val="NoSpacingChar"/>
    <w:uiPriority w:val="1"/>
    <w:qFormat/>
    <w:rsid w:val="00586E5F"/>
    <w:rPr>
      <w:rFonts w:asciiTheme="minorHAnsi" w:eastAsiaTheme="minorEastAsia" w:hAnsiTheme="minorHAnsi" w:cstheme="minorBidi"/>
    </w:rPr>
  </w:style>
  <w:style w:type="character" w:customStyle="1" w:styleId="NoSpacingChar">
    <w:name w:val="No Spacing Char"/>
    <w:basedOn w:val="DefaultParagraphFont"/>
    <w:link w:val="NoSpacing"/>
    <w:uiPriority w:val="1"/>
    <w:rsid w:val="00586E5F"/>
    <w:rPr>
      <w:rFonts w:asciiTheme="minorHAnsi" w:eastAsiaTheme="minorEastAsia" w:hAnsiTheme="minorHAnsi" w:cstheme="minorBidi"/>
    </w:rPr>
  </w:style>
  <w:style w:type="paragraph" w:customStyle="1" w:styleId="disclaimer">
    <w:name w:val="disclaimer"/>
    <w:basedOn w:val="Normal"/>
    <w:qFormat/>
    <w:rsid w:val="00D61CDA"/>
    <w:pPr>
      <w:autoSpaceDE w:val="0"/>
      <w:autoSpaceDN w:val="0"/>
      <w:adjustRightInd w:val="0"/>
      <w:spacing w:before="240"/>
      <w:ind w:left="1440" w:right="1440"/>
      <w:jc w:val="both"/>
    </w:pPr>
    <w:rPr>
      <w:rFonts w:ascii="Times New Roman" w:hAnsi="Times New Roman"/>
      <w:color w:val="000000"/>
      <w:sz w:val="20"/>
      <w:szCs w:val="20"/>
    </w:rPr>
  </w:style>
  <w:style w:type="paragraph" w:customStyle="1" w:styleId="reference">
    <w:name w:val="reference"/>
    <w:basedOn w:val="BodyText"/>
    <w:link w:val="referenceChar"/>
    <w:qFormat/>
    <w:rsid w:val="006022C1"/>
  </w:style>
  <w:style w:type="character" w:styleId="UnresolvedMention">
    <w:name w:val="Unresolved Mention"/>
    <w:basedOn w:val="DefaultParagraphFont"/>
    <w:uiPriority w:val="99"/>
    <w:semiHidden/>
    <w:unhideWhenUsed/>
    <w:rsid w:val="006022C1"/>
    <w:rPr>
      <w:color w:val="808080"/>
      <w:shd w:val="clear" w:color="auto" w:fill="E6E6E6"/>
    </w:rPr>
  </w:style>
  <w:style w:type="character" w:customStyle="1" w:styleId="referenceChar">
    <w:name w:val="reference Char"/>
    <w:basedOn w:val="BodyTextChar"/>
    <w:link w:val="reference"/>
    <w:rsid w:val="00A24659"/>
    <w:rPr>
      <w:rFonts w:asciiTheme="minorHAnsi" w:hAnsiTheme="minorHAnsi"/>
    </w:rPr>
  </w:style>
  <w:style w:type="paragraph" w:customStyle="1" w:styleId="CoverImage">
    <w:name w:val="CoverImage"/>
    <w:basedOn w:val="Normal"/>
    <w:qFormat/>
    <w:rsid w:val="00863E19"/>
    <w:pPr>
      <w:ind w:left="-1440" w:right="-1440"/>
    </w:pPr>
    <w:rPr>
      <w:noProof/>
    </w:rPr>
  </w:style>
  <w:style w:type="paragraph" w:customStyle="1" w:styleId="PNNLCoverContract">
    <w:name w:val="PNNL_Cover_Contract"/>
    <w:basedOn w:val="CoverImage"/>
    <w:qFormat/>
    <w:rsid w:val="0091430F"/>
    <w:pPr>
      <w:ind w:left="0" w:right="0"/>
    </w:pPr>
    <w:rPr>
      <w:sz w:val="14"/>
      <w:szCs w:val="14"/>
    </w:rPr>
  </w:style>
  <w:style w:type="paragraph" w:customStyle="1" w:styleId="PNNLCoverDate">
    <w:name w:val="PNNL_Cover_Date"/>
    <w:basedOn w:val="Normal"/>
    <w:qFormat/>
    <w:rsid w:val="0091430F"/>
    <w:pPr>
      <w:tabs>
        <w:tab w:val="clear" w:pos="360"/>
        <w:tab w:val="clear" w:pos="720"/>
        <w:tab w:val="clear" w:pos="1080"/>
        <w:tab w:val="center" w:pos="5400"/>
      </w:tabs>
      <w:spacing w:before="240" w:after="520"/>
    </w:pPr>
    <w:rPr>
      <w:rFonts w:asciiTheme="majorHAnsi" w:eastAsiaTheme="minorEastAsia" w:hAnsiTheme="majorHAnsi" w:cstheme="minorBidi"/>
      <w:sz w:val="36"/>
      <w:szCs w:val="24"/>
    </w:rPr>
  </w:style>
  <w:style w:type="paragraph" w:customStyle="1" w:styleId="PNNLCoverSubtitle">
    <w:name w:val="PNNL_Cover_Subtitle"/>
    <w:basedOn w:val="Normal"/>
    <w:qFormat/>
    <w:rsid w:val="0091430F"/>
    <w:pPr>
      <w:tabs>
        <w:tab w:val="clear" w:pos="360"/>
        <w:tab w:val="clear" w:pos="720"/>
        <w:tab w:val="clear" w:pos="1080"/>
        <w:tab w:val="left" w:pos="2700"/>
      </w:tabs>
      <w:spacing w:before="240" w:after="240"/>
    </w:pPr>
    <w:rPr>
      <w:rFonts w:asciiTheme="majorHAnsi" w:eastAsiaTheme="minorEastAsia" w:hAnsiTheme="majorHAnsi" w:cstheme="minorBidi"/>
      <w:sz w:val="40"/>
      <w:szCs w:val="24"/>
    </w:rPr>
  </w:style>
  <w:style w:type="paragraph" w:customStyle="1" w:styleId="PNNLCoverTitle">
    <w:name w:val="PNNL_Cover_Title"/>
    <w:qFormat/>
    <w:rsid w:val="002A7EF6"/>
    <w:rPr>
      <w:rFonts w:asciiTheme="majorHAnsi" w:hAnsiTheme="majorHAnsi" w:cs="Arial"/>
      <w:b/>
      <w:sz w:val="56"/>
      <w:szCs w:val="70"/>
    </w:rPr>
  </w:style>
  <w:style w:type="paragraph" w:customStyle="1" w:styleId="PNNLCoverNumber">
    <w:name w:val="PNNL_Cover_Number"/>
    <w:basedOn w:val="Normal"/>
    <w:qFormat/>
    <w:rsid w:val="0091430F"/>
    <w:pPr>
      <w:jc w:val="center"/>
    </w:pPr>
    <w:rPr>
      <w:rFonts w:ascii="Arial Narrow" w:hAnsi="Arial Narrow"/>
      <w:sz w:val="18"/>
    </w:rPr>
  </w:style>
  <w:style w:type="paragraph" w:customStyle="1" w:styleId="PNNLCoverAuthors">
    <w:name w:val="PNNL_Cover_Authors"/>
    <w:basedOn w:val="Normal"/>
    <w:qFormat/>
    <w:rsid w:val="0091430F"/>
    <w:pPr>
      <w:tabs>
        <w:tab w:val="clear" w:pos="360"/>
        <w:tab w:val="clear" w:pos="720"/>
        <w:tab w:val="clear" w:pos="1080"/>
        <w:tab w:val="left" w:pos="2160"/>
        <w:tab w:val="left" w:pos="4680"/>
      </w:tabs>
      <w:spacing w:line="264" w:lineRule="auto"/>
    </w:pPr>
    <w:rPr>
      <w:rFonts w:asciiTheme="majorHAnsi" w:eastAsiaTheme="minorEastAsia" w:hAnsiTheme="majorHAnsi" w:cstheme="minorBidi"/>
      <w:sz w:val="28"/>
      <w:szCs w:val="24"/>
    </w:rPr>
  </w:style>
  <w:style w:type="paragraph" w:customStyle="1" w:styleId="PNNLCoverImage">
    <w:name w:val="PNNL_Cover_Image"/>
    <w:basedOn w:val="Normal"/>
    <w:qFormat/>
    <w:rsid w:val="00DA04B8"/>
    <w:pPr>
      <w:ind w:left="-1440" w:right="-1440"/>
    </w:pPr>
    <w:rPr>
      <w:noProof/>
    </w:rPr>
  </w:style>
  <w:style w:type="paragraph" w:customStyle="1" w:styleId="PNNLBackCover">
    <w:name w:val="PNNL_Back_Cover"/>
    <w:basedOn w:val="Normal"/>
    <w:uiPriority w:val="99"/>
    <w:qFormat/>
    <w:rsid w:val="0091430F"/>
    <w:pPr>
      <w:spacing w:after="240"/>
      <w:ind w:left="-630"/>
    </w:pPr>
    <w:rPr>
      <w:rFonts w:asciiTheme="majorHAnsi" w:hAnsiTheme="majorHAnsi"/>
      <w:b/>
      <w:noProof/>
      <w:sz w:val="40"/>
      <w:szCs w:val="26"/>
    </w:rPr>
  </w:style>
  <w:style w:type="paragraph" w:customStyle="1" w:styleId="PNNLBackCoverAddress">
    <w:name w:val="PNNL_Back_Cover_Address"/>
    <w:basedOn w:val="Normal"/>
    <w:uiPriority w:val="99"/>
    <w:qFormat/>
    <w:rsid w:val="0091430F"/>
    <w:pPr>
      <w:spacing w:line="288" w:lineRule="auto"/>
      <w:ind w:left="-630"/>
    </w:pPr>
    <w:rPr>
      <w:noProof/>
    </w:rPr>
  </w:style>
  <w:style w:type="paragraph" w:customStyle="1" w:styleId="PNNLBackCoverWeb">
    <w:name w:val="PNNL_Back_Cover_Web"/>
    <w:basedOn w:val="Normal"/>
    <w:uiPriority w:val="99"/>
    <w:qFormat/>
    <w:rsid w:val="0091430F"/>
    <w:pPr>
      <w:spacing w:before="240"/>
      <w:ind w:left="-634"/>
    </w:pPr>
  </w:style>
  <w:style w:type="paragraph" w:styleId="ListParagraph">
    <w:name w:val="List Paragraph"/>
    <w:basedOn w:val="Normal"/>
    <w:uiPriority w:val="34"/>
    <w:unhideWhenUsed/>
    <w:qFormat/>
    <w:rsid w:val="0021605F"/>
    <w:pPr>
      <w:ind w:left="720"/>
      <w:contextualSpacing/>
    </w:pPr>
  </w:style>
  <w:style w:type="character" w:styleId="CommentReference">
    <w:name w:val="annotation reference"/>
    <w:basedOn w:val="DefaultParagraphFont"/>
    <w:semiHidden/>
    <w:unhideWhenUsed/>
    <w:rsid w:val="00A5690D"/>
    <w:rPr>
      <w:sz w:val="16"/>
      <w:szCs w:val="16"/>
    </w:rPr>
  </w:style>
  <w:style w:type="paragraph" w:styleId="CommentText">
    <w:name w:val="annotation text"/>
    <w:basedOn w:val="Normal"/>
    <w:link w:val="CommentTextChar"/>
    <w:semiHidden/>
    <w:unhideWhenUsed/>
    <w:rsid w:val="00A5690D"/>
    <w:rPr>
      <w:sz w:val="20"/>
      <w:szCs w:val="20"/>
    </w:rPr>
  </w:style>
  <w:style w:type="character" w:customStyle="1" w:styleId="CommentTextChar">
    <w:name w:val="Comment Text Char"/>
    <w:basedOn w:val="DefaultParagraphFont"/>
    <w:link w:val="CommentText"/>
    <w:semiHidden/>
    <w:rsid w:val="00A5690D"/>
    <w:rPr>
      <w:rFonts w:asciiTheme="minorHAnsi" w:hAnsiTheme="minorHAnsi"/>
      <w:sz w:val="20"/>
      <w:szCs w:val="20"/>
    </w:rPr>
  </w:style>
  <w:style w:type="paragraph" w:styleId="CommentSubject">
    <w:name w:val="annotation subject"/>
    <w:basedOn w:val="CommentText"/>
    <w:next w:val="CommentText"/>
    <w:link w:val="CommentSubjectChar"/>
    <w:semiHidden/>
    <w:unhideWhenUsed/>
    <w:rsid w:val="00A5690D"/>
    <w:rPr>
      <w:b/>
      <w:bCs/>
    </w:rPr>
  </w:style>
  <w:style w:type="character" w:customStyle="1" w:styleId="CommentSubjectChar">
    <w:name w:val="Comment Subject Char"/>
    <w:basedOn w:val="CommentTextChar"/>
    <w:link w:val="CommentSubject"/>
    <w:semiHidden/>
    <w:rsid w:val="00A5690D"/>
    <w:rPr>
      <w:rFonts w:asciiTheme="minorHAnsi" w:hAnsiTheme="minorHAns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3135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ntis.gov/about"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s://pvwatts.nrel.gov/pvwatts.ph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mailto:reports@adonis.osti.gov" TargetMode="External"/><Relationship Id="rId25" Type="http://schemas.openxmlformats.org/officeDocument/2006/relationships/hyperlink" Target="http://www.pnnl.gov"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oter" Target="footer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image" Target="media/image2.svg"/><Relationship Id="rId23" Type="http://schemas.openxmlformats.org/officeDocument/2006/relationships/header" Target="header1.xml"/><Relationship Id="rId28" Type="http://schemas.openxmlformats.org/officeDocument/2006/relationships/glossaryDocument" Target="glossary/document.xml"/><Relationship Id="rId10" Type="http://schemas.openxmlformats.org/officeDocument/2006/relationships/settings" Target="settings.xml"/><Relationship Id="rId19" Type="http://schemas.openxmlformats.org/officeDocument/2006/relationships/hyperlink" Target="http://www.ntis.gov"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image" Target="media/image4.png"/><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nrel.gov/docs/fy19osti/72399.pdf" TargetMode="External"/><Relationship Id="rId1" Type="http://schemas.openxmlformats.org/officeDocument/2006/relationships/hyperlink" Target="http://energystorage.pnnl.gov/pdf/PNNL-28866.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PNNL\Office\Templates\Other%20Report%20Templates\White%20Paper%20or%20Tech%20Memo.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8BA082FD8F44737AA42E6B9774D8F66"/>
        <w:category>
          <w:name w:val="General"/>
          <w:gallery w:val="placeholder"/>
        </w:category>
        <w:types>
          <w:type w:val="bbPlcHdr"/>
        </w:types>
        <w:behaviors>
          <w:behavior w:val="content"/>
        </w:behaviors>
        <w:guid w:val="{CAC8FFC2-8366-4476-9E9C-4B825F0215A7}"/>
      </w:docPartPr>
      <w:docPartBody>
        <w:p w:rsidR="005C1729" w:rsidRDefault="005C1729">
          <w:pPr>
            <w:pStyle w:val="B8BA082FD8F44737AA42E6B9774D8F66"/>
          </w:pPr>
          <w:r w:rsidRPr="003A752C">
            <w:rPr>
              <w:rStyle w:val="PlaceholderText"/>
            </w:rPr>
            <w:t>Click or tap here to enter text.</w:t>
          </w:r>
        </w:p>
      </w:docPartBody>
    </w:docPart>
    <w:docPart>
      <w:docPartPr>
        <w:name w:val="B8804ECF8B64487BA939868203969DBA"/>
        <w:category>
          <w:name w:val="General"/>
          <w:gallery w:val="placeholder"/>
        </w:category>
        <w:types>
          <w:type w:val="bbPlcHdr"/>
        </w:types>
        <w:behaviors>
          <w:behavior w:val="content"/>
        </w:behaviors>
        <w:guid w:val="{B8E2BA8C-A6FC-4556-A5A6-453A22DB652B}"/>
      </w:docPartPr>
      <w:docPartBody>
        <w:p w:rsidR="005C1729" w:rsidRDefault="005C1729">
          <w:pPr>
            <w:pStyle w:val="B8804ECF8B64487BA939868203969DBA"/>
          </w:pPr>
          <w:r w:rsidRPr="003A752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729"/>
    <w:rsid w:val="005C17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B8BA082FD8F44737AA42E6B9774D8F66">
    <w:name w:val="B8BA082FD8F44737AA42E6B9774D8F66"/>
  </w:style>
  <w:style w:type="paragraph" w:customStyle="1" w:styleId="2E90AFE21E734723AE1C2740C4AD15BD">
    <w:name w:val="2E90AFE21E734723AE1C2740C4AD15BD"/>
  </w:style>
  <w:style w:type="paragraph" w:customStyle="1" w:styleId="B8804ECF8B64487BA939868203969DBA">
    <w:name w:val="B8804ECF8B64487BA939868203969DB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PNNL">
  <a:themeElements>
    <a:clrScheme name="PNNL Brand Theme 2">
      <a:dk1>
        <a:srgbClr val="707276"/>
      </a:dk1>
      <a:lt1>
        <a:srgbClr val="FFFFFF"/>
      </a:lt1>
      <a:dk2>
        <a:srgbClr val="D57500"/>
      </a:dk2>
      <a:lt2>
        <a:srgbClr val="B2B3B5"/>
      </a:lt2>
      <a:accent1>
        <a:srgbClr val="A83C0F"/>
      </a:accent1>
      <a:accent2>
        <a:srgbClr val="242424"/>
      </a:accent2>
      <a:accent3>
        <a:srgbClr val="F1AB00"/>
      </a:accent3>
      <a:accent4>
        <a:srgbClr val="007229"/>
      </a:accent4>
      <a:accent5>
        <a:srgbClr val="C10435"/>
      </a:accent5>
      <a:accent6>
        <a:srgbClr val="007FAC"/>
      </a:accent6>
      <a:hlink>
        <a:srgbClr val="003698"/>
      </a:hlink>
      <a:folHlink>
        <a:srgbClr val="8A0752"/>
      </a:folHlink>
    </a:clrScheme>
    <a:fontScheme name="PNNL_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overPageProperties xmlns="http://schemas.microsoft.com/office/2006/coverPageProps">
  <PublishDate>Publish Date</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88622A3A5FD0342974F50CA8143EF72" ma:contentTypeVersion="10" ma:contentTypeDescription="Create a new document." ma:contentTypeScope="" ma:versionID="ee1feeec0340224f354275b0f01ea901">
  <xsd:schema xmlns:xsd="http://www.w3.org/2001/XMLSchema" xmlns:xs="http://www.w3.org/2001/XMLSchema" xmlns:p="http://schemas.microsoft.com/office/2006/metadata/properties" xmlns:ns3="0102aeb2-439c-495d-9d87-5e28d92e9783" xmlns:ns4="fa60371f-4dd5-4e73-9a46-2e4f6ce8ccbf" targetNamespace="http://schemas.microsoft.com/office/2006/metadata/properties" ma:root="true" ma:fieldsID="6c5dba45e6a37bb1e0d031a66c865ecb" ns3:_="" ns4:_="">
    <xsd:import namespace="0102aeb2-439c-495d-9d87-5e28d92e9783"/>
    <xsd:import namespace="fa60371f-4dd5-4e73-9a46-2e4f6ce8ccb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02aeb2-439c-495d-9d87-5e28d92e97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60371f-4dd5-4e73-9a46-2e4f6ce8ccb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rojectDoc xmlns="PNNL_Template">
  <PNNL_Template>
    <PNNL_Content_Controls>
      <PNNL_Contract>Prepared for and Contract</PNNL_Contract>
      <PNNL_Designation/>
      <PNNL_Title>Enter Title Here</PNNL_Title>
      <PNNL_Subtitle>Enter Subtitle Here (or delete)</PNNL_Subtitle>
      <PNNL_Date>2020-08-20T00:00:00</PNNL_Date>
      <PNNL_Authors>1 First M Last 
2 First M Last
3 First M Last
4 First M Last</PNNL_Authors>
      <PNNL_Number>PNNL-30264</PNNL_Number>
    </PNNL_Content_Controls>
  </PNNL_Template>
</projectDoc>
</file>

<file path=customXml/item4.xml><?xml version="1.0" encoding="utf-8"?>
<p:properties xmlns:p="http://schemas.microsoft.com/office/2006/metadata/properties" xmlns:xsi="http://www.w3.org/2001/XMLSchema-instance" xmlns:pc="http://schemas.microsoft.com/office/infopath/2007/PartnerControls">
  <documentManagement>
  </documentManagement>
</p:properties>
</file>

<file path=customXml/item5.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79EF1E5-7993-43EB-AD2B-AA7BCECABC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02aeb2-439c-495d-9d87-5e28d92e9783"/>
    <ds:schemaRef ds:uri="fa60371f-4dd5-4e73-9a46-2e4f6ce8cc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D18313-9A4D-4C49-BBB5-7012767DE606}">
  <ds:schemaRefs>
    <ds:schemaRef ds:uri="PNNL_Template"/>
  </ds:schemaRefs>
</ds:datastoreItem>
</file>

<file path=customXml/itemProps4.xml><?xml version="1.0" encoding="utf-8"?>
<ds:datastoreItem xmlns:ds="http://schemas.openxmlformats.org/officeDocument/2006/customXml" ds:itemID="{61D094FB-A794-491B-A6C7-880B6AFA9B4C}">
  <ds:schemaRefs>
    <ds:schemaRef ds:uri="http://www.w3.org/XML/1998/namespace"/>
    <ds:schemaRef ds:uri="0102aeb2-439c-495d-9d87-5e28d92e9783"/>
    <ds:schemaRef ds:uri="http://schemas.microsoft.com/office/2006/metadata/properties"/>
    <ds:schemaRef ds:uri="http://schemas.microsoft.com/office/2006/documentManagement/types"/>
    <ds:schemaRef ds:uri="http://purl.org/dc/terms/"/>
    <ds:schemaRef ds:uri="http://schemas.microsoft.com/office/infopath/2007/PartnerControls"/>
    <ds:schemaRef ds:uri="http://purl.org/dc/elements/1.1/"/>
    <ds:schemaRef ds:uri="http://schemas.openxmlformats.org/package/2006/metadata/core-properties"/>
    <ds:schemaRef ds:uri="fa60371f-4dd5-4e73-9a46-2e4f6ce8ccbf"/>
    <ds:schemaRef ds:uri="http://purl.org/dc/dcmitype/"/>
  </ds:schemaRefs>
</ds:datastoreItem>
</file>

<file path=customXml/itemProps5.xml><?xml version="1.0" encoding="utf-8"?>
<ds:datastoreItem xmlns:ds="http://schemas.openxmlformats.org/officeDocument/2006/customXml" ds:itemID="{57AFD3FA-79EE-4AF8-A72B-55EE7C542571}">
  <ds:schemaRefs>
    <ds:schemaRef ds:uri="http://schemas.microsoft.com/office/2006/customDocumentInformationPanel"/>
  </ds:schemaRefs>
</ds:datastoreItem>
</file>

<file path=customXml/itemProps6.xml><?xml version="1.0" encoding="utf-8"?>
<ds:datastoreItem xmlns:ds="http://schemas.openxmlformats.org/officeDocument/2006/customXml" ds:itemID="{20FE734D-6D4D-4FDF-A2FC-D1F0115745DE}">
  <ds:schemaRefs>
    <ds:schemaRef ds:uri="http://schemas.microsoft.com/sharepoint/v3/contenttype/forms"/>
  </ds:schemaRefs>
</ds:datastoreItem>
</file>

<file path=customXml/itemProps7.xml><?xml version="1.0" encoding="utf-8"?>
<ds:datastoreItem xmlns:ds="http://schemas.openxmlformats.org/officeDocument/2006/customXml" ds:itemID="{20DB2F82-4B11-45B6-991B-F8E7B8CAA4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White Paper or Tech Memo.dotx</Template>
  <TotalTime>108</TotalTime>
  <Pages>10</Pages>
  <Words>3115</Words>
  <Characters>17074</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Title</vt:lpstr>
    </vt:vector>
  </TitlesOfParts>
  <Company>Pacific Northwest National Laboratory</Company>
  <LinksUpToDate>false</LinksUpToDate>
  <CharactersWithSpaces>20149</CharactersWithSpaces>
  <SharedDoc>false</SharedDoc>
  <HLinks>
    <vt:vector size="54" baseType="variant">
      <vt:variant>
        <vt:i4>1114165</vt:i4>
      </vt:variant>
      <vt:variant>
        <vt:i4>41</vt:i4>
      </vt:variant>
      <vt:variant>
        <vt:i4>0</vt:i4>
      </vt:variant>
      <vt:variant>
        <vt:i4>5</vt:i4>
      </vt:variant>
      <vt:variant>
        <vt:lpwstr/>
      </vt:variant>
      <vt:variant>
        <vt:lpwstr>_Toc195079668</vt:lpwstr>
      </vt:variant>
      <vt:variant>
        <vt:i4>1114165</vt:i4>
      </vt:variant>
      <vt:variant>
        <vt:i4>35</vt:i4>
      </vt:variant>
      <vt:variant>
        <vt:i4>0</vt:i4>
      </vt:variant>
      <vt:variant>
        <vt:i4>5</vt:i4>
      </vt:variant>
      <vt:variant>
        <vt:lpwstr/>
      </vt:variant>
      <vt:variant>
        <vt:lpwstr>_Toc195079667</vt:lpwstr>
      </vt:variant>
      <vt:variant>
        <vt:i4>1114165</vt:i4>
      </vt:variant>
      <vt:variant>
        <vt:i4>29</vt:i4>
      </vt:variant>
      <vt:variant>
        <vt:i4>0</vt:i4>
      </vt:variant>
      <vt:variant>
        <vt:i4>5</vt:i4>
      </vt:variant>
      <vt:variant>
        <vt:lpwstr/>
      </vt:variant>
      <vt:variant>
        <vt:lpwstr>_Toc195079666</vt:lpwstr>
      </vt:variant>
      <vt:variant>
        <vt:i4>1114165</vt:i4>
      </vt:variant>
      <vt:variant>
        <vt:i4>23</vt:i4>
      </vt:variant>
      <vt:variant>
        <vt:i4>0</vt:i4>
      </vt:variant>
      <vt:variant>
        <vt:i4>5</vt:i4>
      </vt:variant>
      <vt:variant>
        <vt:lpwstr/>
      </vt:variant>
      <vt:variant>
        <vt:lpwstr>_Toc195079665</vt:lpwstr>
      </vt:variant>
      <vt:variant>
        <vt:i4>1114165</vt:i4>
      </vt:variant>
      <vt:variant>
        <vt:i4>17</vt:i4>
      </vt:variant>
      <vt:variant>
        <vt:i4>0</vt:i4>
      </vt:variant>
      <vt:variant>
        <vt:i4>5</vt:i4>
      </vt:variant>
      <vt:variant>
        <vt:lpwstr/>
      </vt:variant>
      <vt:variant>
        <vt:lpwstr>_Toc195079664</vt:lpwstr>
      </vt:variant>
      <vt:variant>
        <vt:i4>1114165</vt:i4>
      </vt:variant>
      <vt:variant>
        <vt:i4>11</vt:i4>
      </vt:variant>
      <vt:variant>
        <vt:i4>0</vt:i4>
      </vt:variant>
      <vt:variant>
        <vt:i4>5</vt:i4>
      </vt:variant>
      <vt:variant>
        <vt:lpwstr/>
      </vt:variant>
      <vt:variant>
        <vt:lpwstr>_Toc195079663</vt:lpwstr>
      </vt:variant>
      <vt:variant>
        <vt:i4>262169</vt:i4>
      </vt:variant>
      <vt:variant>
        <vt:i4>6</vt:i4>
      </vt:variant>
      <vt:variant>
        <vt:i4>0</vt:i4>
      </vt:variant>
      <vt:variant>
        <vt:i4>5</vt:i4>
      </vt:variant>
      <vt:variant>
        <vt:lpwstr>http://sbms.pnl.gov/standard/85/8504e050.pdf</vt:lpwstr>
      </vt:variant>
      <vt:variant>
        <vt:lpwstr/>
      </vt:variant>
      <vt:variant>
        <vt:i4>262174</vt:i4>
      </vt:variant>
      <vt:variant>
        <vt:i4>3</vt:i4>
      </vt:variant>
      <vt:variant>
        <vt:i4>0</vt:i4>
      </vt:variant>
      <vt:variant>
        <vt:i4>5</vt:i4>
      </vt:variant>
      <vt:variant>
        <vt:lpwstr>http://sbms.pnl.gov/standard/85/8504e020.pdf</vt:lpwstr>
      </vt:variant>
      <vt:variant>
        <vt:lpwstr/>
      </vt:variant>
      <vt:variant>
        <vt:i4>262175</vt:i4>
      </vt:variant>
      <vt:variant>
        <vt:i4>0</vt:i4>
      </vt:variant>
      <vt:variant>
        <vt:i4>0</vt:i4>
      </vt:variant>
      <vt:variant>
        <vt:i4>5</vt:i4>
      </vt:variant>
      <vt:variant>
        <vt:lpwstr>http://sbms.pnl.gov/standard/85/8504e030.pdf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test</dc:creator>
  <cp:lastModifiedBy>Twitchell, Jeremy B</cp:lastModifiedBy>
  <cp:revision>6</cp:revision>
  <cp:lastPrinted>2018-06-15T18:49:00Z</cp:lastPrinted>
  <dcterms:created xsi:type="dcterms:W3CDTF">2020-08-21T02:13:00Z</dcterms:created>
  <dcterms:modified xsi:type="dcterms:W3CDTF">2020-08-21T17:19:00Z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0x010100C88622A3A5FD0342974F50CA8143EF72</vt:lpwstr>
  </property>
  <property fmtid="{D5CDD505-2E9C-101B-9397-08002B2CF9AE}" pid="3" name="PNNLNumber" linkTarget="PNNLNumber">
    <vt:lpwstr>PNNL-XXXXX</vt:lpwstr>
  </property>
</Properties>
</file>